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F5" w:rsidRPr="00244B3E" w:rsidRDefault="00162BF5" w:rsidP="005C0D1B">
      <w:pPr>
        <w:jc w:val="both"/>
        <w:rPr>
          <w:b/>
          <w:bCs/>
        </w:rPr>
      </w:pPr>
      <w:r>
        <w:rPr>
          <w:b/>
          <w:bCs/>
        </w:rPr>
        <w:t>OPĆINSKO VIJEĆE OPĆINE POSEDARJE</w:t>
      </w:r>
      <w:r>
        <w:t>, temeljem članaka 35. i 69. Zakona o lokalnoj i područnoj (regionalnoj) samoupravi („Narodne novine“ broj 33/01, 60/01 vjerodostojno tumačenje, 129/05, 109/07, 125/08, 36/09, 150/11, 144/12, 19/13-pročišćeni tekst, 137/15 i 123/17), Uputa za izradu proračuna jedinica lokalne i područne (regionalne) samouprave za razdoblje 2018. – 2020. koje je objavilo Ministarstvo financija</w:t>
      </w:r>
      <w:r w:rsidR="005C0D1B">
        <w:t xml:space="preserve">, članka 82. </w:t>
      </w:r>
      <w:r w:rsidR="005C0D1B" w:rsidRPr="005C0D1B">
        <w:t>Pravilnika o proračunskom računovodstvu i računskom planu („Narodne novine“ broj 124/14, 115/15</w:t>
      </w:r>
      <w:r w:rsidR="005C0D1B">
        <w:t xml:space="preserve">, </w:t>
      </w:r>
      <w:r w:rsidR="005C0D1B" w:rsidRPr="005C0D1B">
        <w:t>87/16</w:t>
      </w:r>
      <w:r w:rsidR="005C0D1B">
        <w:t xml:space="preserve"> i 3/18</w:t>
      </w:r>
      <w:r w:rsidR="005C0D1B" w:rsidRPr="005C0D1B">
        <w:t>)</w:t>
      </w:r>
      <w:r w:rsidR="005C0D1B">
        <w:t xml:space="preserve">, </w:t>
      </w:r>
      <w:r w:rsidR="00B76E92">
        <w:t>i</w:t>
      </w:r>
      <w:r w:rsidR="005C0D1B">
        <w:t xml:space="preserve"> </w:t>
      </w:r>
      <w:r>
        <w:t xml:space="preserve"> članka 31. Statuta Općine Posedarje (Službeni glasnik Općine Posedarje broj 01/13 i 02/13), </w:t>
      </w:r>
      <w:r>
        <w:rPr>
          <w:b/>
          <w:bCs/>
        </w:rPr>
        <w:t xml:space="preserve">na svojoj </w:t>
      </w:r>
      <w:r w:rsidR="003E2465">
        <w:rPr>
          <w:b/>
          <w:bCs/>
        </w:rPr>
        <w:t>13.</w:t>
      </w:r>
      <w:r>
        <w:rPr>
          <w:b/>
          <w:bCs/>
        </w:rPr>
        <w:t xml:space="preserve"> sjednici održanoj dana </w:t>
      </w:r>
      <w:r w:rsidR="003E2465">
        <w:rPr>
          <w:b/>
          <w:bCs/>
        </w:rPr>
        <w:t>29</w:t>
      </w:r>
      <w:r>
        <w:rPr>
          <w:b/>
          <w:bCs/>
        </w:rPr>
        <w:t>.1</w:t>
      </w:r>
      <w:r w:rsidR="003E2465">
        <w:rPr>
          <w:b/>
          <w:bCs/>
        </w:rPr>
        <w:t>1</w:t>
      </w:r>
      <w:r>
        <w:rPr>
          <w:b/>
          <w:bCs/>
        </w:rPr>
        <w:t>.201</w:t>
      </w:r>
      <w:r w:rsidR="001442CF">
        <w:rPr>
          <w:b/>
          <w:bCs/>
        </w:rPr>
        <w:t>8</w:t>
      </w:r>
      <w:bookmarkStart w:id="0" w:name="_GoBack"/>
      <w:bookmarkEnd w:id="0"/>
      <w:r>
        <w:rPr>
          <w:b/>
          <w:bCs/>
        </w:rPr>
        <w:t>. godine  donosi</w:t>
      </w:r>
    </w:p>
    <w:p w:rsidR="00173081" w:rsidRDefault="00173081" w:rsidP="00173081">
      <w:pPr>
        <w:pStyle w:val="Bezproreda"/>
        <w:rPr>
          <w:b/>
        </w:rPr>
      </w:pPr>
    </w:p>
    <w:p w:rsidR="00173081" w:rsidRDefault="00173081" w:rsidP="00173081">
      <w:pPr>
        <w:pStyle w:val="Bezproreda"/>
        <w:jc w:val="center"/>
        <w:rPr>
          <w:b/>
        </w:rPr>
      </w:pPr>
      <w:r>
        <w:rPr>
          <w:b/>
        </w:rPr>
        <w:t>Analiz</w:t>
      </w:r>
      <w:r w:rsidR="00244B3E">
        <w:rPr>
          <w:b/>
        </w:rPr>
        <w:t>u</w:t>
      </w:r>
      <w:r>
        <w:rPr>
          <w:b/>
        </w:rPr>
        <w:t xml:space="preserve"> i ocjen</w:t>
      </w:r>
      <w:r w:rsidR="00244B3E">
        <w:rPr>
          <w:b/>
        </w:rPr>
        <w:t>u</w:t>
      </w:r>
      <w:r>
        <w:rPr>
          <w:b/>
        </w:rPr>
        <w:t xml:space="preserve"> postojećeg financijskog stanja s prijedlogom mjera za otklanjanje uzoraka negativnog poslovanja i akcijski plan provedbe navedenih mjera</w:t>
      </w:r>
    </w:p>
    <w:p w:rsidR="00173081" w:rsidRDefault="00173081" w:rsidP="00173081">
      <w:pPr>
        <w:pStyle w:val="Bezproreda"/>
        <w:jc w:val="center"/>
        <w:rPr>
          <w:b/>
        </w:rPr>
      </w:pPr>
    </w:p>
    <w:p w:rsidR="00173081" w:rsidRDefault="00173081" w:rsidP="00B53D85">
      <w:pPr>
        <w:pStyle w:val="Bezproreda"/>
        <w:jc w:val="both"/>
      </w:pPr>
      <w:r>
        <w:t>U skladu s Uputama za izradu proračuna Jedinica lokalne i područne (regionalne)samouprave za razdoblje od 201</w:t>
      </w:r>
      <w:r w:rsidR="004740D7">
        <w:t>9</w:t>
      </w:r>
      <w:r>
        <w:t>. do 202</w:t>
      </w:r>
      <w:r w:rsidR="004740D7">
        <w:t>1</w:t>
      </w:r>
      <w:r>
        <w:t>. godine, izrađena je analiza postojećeg financijskog stanja Općine Posedarje radi što kva</w:t>
      </w:r>
      <w:r w:rsidR="004740D7">
        <w:t>litetnije procijene manjka prenesenog iz 2017. godine,</w:t>
      </w:r>
      <w:r>
        <w:t xml:space="preserve"> te izrada plana njegova pokrića. Na temelju sagledanih pokazatelja sastavljen je prijedlog mjera za pokriće planiranog manjka i akcijski plan za njihovu provedbu. U analizi financijskog stanja korišteni su podaci iz Financijskih izvještaja Općine Posedarje. Općina Posedarje ima ustroje jedan odjel i to Jedinstven upravni odjel  i jednog proračunskog korisnika i to Dječji vrtić Cvrčak.</w:t>
      </w:r>
    </w:p>
    <w:p w:rsidR="00173081" w:rsidRDefault="00173081" w:rsidP="00173081">
      <w:pPr>
        <w:pStyle w:val="Bezproreda"/>
        <w:jc w:val="both"/>
      </w:pPr>
    </w:p>
    <w:p w:rsidR="00173081" w:rsidRDefault="00173081" w:rsidP="00173081">
      <w:pPr>
        <w:pStyle w:val="Bezproreda"/>
        <w:jc w:val="both"/>
        <w:rPr>
          <w:b/>
        </w:rPr>
      </w:pPr>
      <w:r>
        <w:rPr>
          <w:b/>
        </w:rPr>
        <w:t>1. Analiza financijskog poslovanja  Općine Posedarje</w:t>
      </w:r>
    </w:p>
    <w:p w:rsidR="00173081" w:rsidRDefault="00173081" w:rsidP="00173081">
      <w:pPr>
        <w:pStyle w:val="Bezproreda"/>
        <w:jc w:val="both"/>
        <w:rPr>
          <w:b/>
        </w:rPr>
      </w:pPr>
    </w:p>
    <w:p w:rsidR="00173081" w:rsidRDefault="00173081" w:rsidP="00173081">
      <w:pPr>
        <w:pStyle w:val="Bezproreda"/>
        <w:jc w:val="both"/>
        <w:rPr>
          <w:b/>
        </w:rPr>
      </w:pPr>
      <w:r>
        <w:rPr>
          <w:b/>
        </w:rPr>
        <w:t>IZVJEŠTAJ O PRIHODIMA I RASHODIMA</w:t>
      </w:r>
    </w:p>
    <w:tbl>
      <w:tblPr>
        <w:tblStyle w:val="Reetkatablice"/>
        <w:tblW w:w="9750" w:type="dxa"/>
        <w:tblLayout w:type="fixed"/>
        <w:tblLook w:val="04A0" w:firstRow="1" w:lastRow="0" w:firstColumn="1" w:lastColumn="0" w:noHBand="0" w:noVBand="1"/>
      </w:tblPr>
      <w:tblGrid>
        <w:gridCol w:w="3938"/>
        <w:gridCol w:w="1417"/>
        <w:gridCol w:w="1418"/>
        <w:gridCol w:w="1269"/>
        <w:gridCol w:w="1708"/>
      </w:tblGrid>
      <w:tr w:rsidR="00173081" w:rsidTr="004740D7">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173081">
            <w:pPr>
              <w:pStyle w:val="Bezproreda"/>
              <w:jc w:val="both"/>
              <w:rPr>
                <w:b/>
              </w:rPr>
            </w:pPr>
            <w:r>
              <w:rPr>
                <w:b/>
              </w:rPr>
              <w:t>PRIHODI I PRIMICI PO VRSTI</w:t>
            </w:r>
          </w:p>
        </w:tc>
        <w:tc>
          <w:tcPr>
            <w:tcW w:w="1417"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rsidR="00173081" w:rsidRDefault="00173081">
            <w:pPr>
              <w:pStyle w:val="Bezproreda"/>
              <w:jc w:val="both"/>
              <w:rPr>
                <w:b/>
              </w:rPr>
            </w:pPr>
            <w:r>
              <w:rPr>
                <w:b/>
              </w:rPr>
              <w:t xml:space="preserve">IZVRŠENJE </w:t>
            </w:r>
          </w:p>
          <w:p w:rsidR="00173081" w:rsidRDefault="00173081">
            <w:pPr>
              <w:pStyle w:val="Bezproreda"/>
              <w:jc w:val="both"/>
              <w:rPr>
                <w:b/>
              </w:rPr>
            </w:pPr>
            <w:r>
              <w:rPr>
                <w:b/>
              </w:rPr>
              <w:t>201</w:t>
            </w:r>
            <w:r w:rsidR="004740D7">
              <w:rPr>
                <w:b/>
              </w:rPr>
              <w:t>6</w:t>
            </w:r>
          </w:p>
        </w:tc>
        <w:tc>
          <w:tcPr>
            <w:tcW w:w="1418"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rsidR="00173081" w:rsidRDefault="00173081">
            <w:pPr>
              <w:pStyle w:val="Bezproreda"/>
              <w:jc w:val="both"/>
              <w:rPr>
                <w:b/>
              </w:rPr>
            </w:pPr>
            <w:r>
              <w:rPr>
                <w:b/>
              </w:rPr>
              <w:t>IZVRŠENJE</w:t>
            </w:r>
          </w:p>
          <w:p w:rsidR="00173081" w:rsidRDefault="00173081">
            <w:pPr>
              <w:pStyle w:val="Bezproreda"/>
              <w:jc w:val="both"/>
              <w:rPr>
                <w:b/>
              </w:rPr>
            </w:pPr>
            <w:r>
              <w:rPr>
                <w:b/>
              </w:rPr>
              <w:t>201</w:t>
            </w:r>
            <w:r w:rsidR="004740D7">
              <w:rPr>
                <w:b/>
              </w:rPr>
              <w:t>7</w:t>
            </w:r>
          </w:p>
        </w:tc>
        <w:tc>
          <w:tcPr>
            <w:tcW w:w="126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rsidR="00173081" w:rsidRDefault="00173081">
            <w:pPr>
              <w:pStyle w:val="Bezproreda"/>
              <w:jc w:val="both"/>
              <w:rPr>
                <w:b/>
              </w:rPr>
            </w:pPr>
            <w:r>
              <w:rPr>
                <w:b/>
              </w:rPr>
              <w:t xml:space="preserve">IZVRŠENJE </w:t>
            </w:r>
          </w:p>
          <w:p w:rsidR="00173081" w:rsidRDefault="00173081">
            <w:pPr>
              <w:pStyle w:val="Bezproreda"/>
              <w:jc w:val="both"/>
              <w:rPr>
                <w:b/>
              </w:rPr>
            </w:pPr>
            <w:r>
              <w:rPr>
                <w:b/>
              </w:rPr>
              <w:t>30.09.201</w:t>
            </w:r>
            <w:r w:rsidR="004740D7">
              <w:rPr>
                <w:b/>
              </w:rPr>
              <w:t>7</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173081">
            <w:pPr>
              <w:pStyle w:val="Bezproreda"/>
              <w:jc w:val="both"/>
              <w:rPr>
                <w:b/>
              </w:rPr>
            </w:pPr>
            <w:r>
              <w:rPr>
                <w:b/>
              </w:rPr>
              <w:t xml:space="preserve">IZVRŠENJE </w:t>
            </w:r>
          </w:p>
          <w:p w:rsidR="00173081" w:rsidRDefault="00173081">
            <w:pPr>
              <w:pStyle w:val="Bezproreda"/>
              <w:jc w:val="both"/>
              <w:rPr>
                <w:b/>
              </w:rPr>
            </w:pPr>
            <w:r>
              <w:rPr>
                <w:b/>
              </w:rPr>
              <w:t>30.09.201</w:t>
            </w:r>
            <w:r w:rsidR="004740D7">
              <w:rPr>
                <w:b/>
              </w:rPr>
              <w:t>8</w:t>
            </w:r>
          </w:p>
        </w:tc>
      </w:tr>
      <w:tr w:rsidR="004740D7" w:rsidTr="004740D7">
        <w:trPr>
          <w:trHeight w:val="405"/>
        </w:trPr>
        <w:tc>
          <w:tcPr>
            <w:tcW w:w="3938" w:type="dxa"/>
            <w:tcBorders>
              <w:top w:val="single" w:sz="4" w:space="0" w:color="auto"/>
              <w:left w:val="single" w:sz="4" w:space="0" w:color="auto"/>
              <w:bottom w:val="single" w:sz="4" w:space="0" w:color="auto"/>
              <w:right w:val="single" w:sz="4" w:space="0" w:color="auto"/>
            </w:tcBorders>
            <w:hideMark/>
          </w:tcPr>
          <w:p w:rsidR="004740D7" w:rsidRDefault="004740D7">
            <w:pPr>
              <w:pStyle w:val="Bezproreda"/>
              <w:ind w:left="108"/>
              <w:jc w:val="both"/>
              <w:rPr>
                <w:sz w:val="20"/>
                <w:szCs w:val="20"/>
              </w:rPr>
            </w:pPr>
            <w:r>
              <w:rPr>
                <w:sz w:val="20"/>
                <w:szCs w:val="20"/>
              </w:rPr>
              <w:t>Prihodi od poreza</w:t>
            </w:r>
          </w:p>
        </w:tc>
        <w:tc>
          <w:tcPr>
            <w:tcW w:w="1417" w:type="dxa"/>
            <w:tcBorders>
              <w:top w:val="single" w:sz="4" w:space="0" w:color="auto"/>
              <w:left w:val="single" w:sz="4" w:space="0" w:color="auto"/>
              <w:bottom w:val="single" w:sz="4" w:space="0" w:color="auto"/>
              <w:right w:val="single" w:sz="4" w:space="0" w:color="auto"/>
            </w:tcBorders>
            <w:hideMark/>
          </w:tcPr>
          <w:p w:rsidR="004740D7" w:rsidRDefault="007933C0" w:rsidP="009066E6">
            <w:pPr>
              <w:pStyle w:val="Bezproreda"/>
              <w:ind w:left="108"/>
              <w:jc w:val="right"/>
              <w:rPr>
                <w:sz w:val="20"/>
                <w:szCs w:val="20"/>
              </w:rPr>
            </w:pPr>
            <w:r>
              <w:rPr>
                <w:sz w:val="20"/>
                <w:szCs w:val="20"/>
              </w:rPr>
              <w:t>4.595.761</w:t>
            </w:r>
          </w:p>
        </w:tc>
        <w:tc>
          <w:tcPr>
            <w:tcW w:w="1418" w:type="dxa"/>
            <w:tcBorders>
              <w:top w:val="single" w:sz="4" w:space="0" w:color="auto"/>
              <w:left w:val="single" w:sz="4" w:space="0" w:color="auto"/>
              <w:bottom w:val="single" w:sz="4" w:space="0" w:color="auto"/>
              <w:right w:val="single" w:sz="4" w:space="0" w:color="auto"/>
            </w:tcBorders>
            <w:hideMark/>
          </w:tcPr>
          <w:p w:rsidR="004740D7" w:rsidRDefault="004740D7">
            <w:pPr>
              <w:pStyle w:val="Bezproreda"/>
              <w:ind w:left="108"/>
              <w:jc w:val="right"/>
              <w:rPr>
                <w:sz w:val="20"/>
                <w:szCs w:val="20"/>
              </w:rPr>
            </w:pPr>
            <w:r>
              <w:rPr>
                <w:sz w:val="20"/>
                <w:szCs w:val="20"/>
              </w:rPr>
              <w:t>4.123.282</w:t>
            </w:r>
          </w:p>
        </w:tc>
        <w:tc>
          <w:tcPr>
            <w:tcW w:w="1269" w:type="dxa"/>
            <w:tcBorders>
              <w:top w:val="single" w:sz="4" w:space="0" w:color="auto"/>
              <w:left w:val="single" w:sz="4" w:space="0" w:color="auto"/>
              <w:bottom w:val="single" w:sz="4" w:space="0" w:color="auto"/>
              <w:right w:val="single" w:sz="4" w:space="0" w:color="auto"/>
            </w:tcBorders>
            <w:hideMark/>
          </w:tcPr>
          <w:p w:rsidR="004740D7" w:rsidRDefault="00D43AD7">
            <w:pPr>
              <w:pStyle w:val="Bezproreda"/>
              <w:ind w:left="108"/>
              <w:jc w:val="right"/>
              <w:rPr>
                <w:sz w:val="20"/>
                <w:szCs w:val="20"/>
              </w:rPr>
            </w:pPr>
            <w:r>
              <w:rPr>
                <w:sz w:val="20"/>
                <w:szCs w:val="20"/>
              </w:rPr>
              <w:t>3.213.684</w:t>
            </w:r>
          </w:p>
        </w:tc>
        <w:tc>
          <w:tcPr>
            <w:tcW w:w="1708" w:type="dxa"/>
            <w:tcBorders>
              <w:top w:val="single" w:sz="4" w:space="0" w:color="auto"/>
              <w:left w:val="single" w:sz="4" w:space="0" w:color="auto"/>
              <w:bottom w:val="single" w:sz="4" w:space="0" w:color="auto"/>
              <w:right w:val="single" w:sz="4" w:space="0" w:color="auto"/>
            </w:tcBorders>
            <w:hideMark/>
          </w:tcPr>
          <w:p w:rsidR="004740D7" w:rsidRDefault="00D43AD7">
            <w:pPr>
              <w:pStyle w:val="Bezproreda"/>
              <w:ind w:left="108"/>
              <w:jc w:val="right"/>
              <w:rPr>
                <w:sz w:val="20"/>
                <w:szCs w:val="20"/>
              </w:rPr>
            </w:pPr>
            <w:r>
              <w:rPr>
                <w:sz w:val="20"/>
                <w:szCs w:val="20"/>
              </w:rPr>
              <w:t>6.006.178</w:t>
            </w: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both"/>
              <w:rPr>
                <w:sz w:val="20"/>
                <w:szCs w:val="20"/>
              </w:rPr>
            </w:pPr>
            <w:r>
              <w:rPr>
                <w:sz w:val="20"/>
                <w:szCs w:val="20"/>
              </w:rPr>
              <w:t>Pomoći iz inozemstva i od subjekata unutar općeg proračuna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rsidP="009066E6">
            <w:pPr>
              <w:pStyle w:val="Bezproreda"/>
              <w:ind w:left="108"/>
              <w:jc w:val="right"/>
              <w:rPr>
                <w:sz w:val="20"/>
                <w:szCs w:val="20"/>
              </w:rPr>
            </w:pPr>
            <w:r>
              <w:rPr>
                <w:sz w:val="20"/>
                <w:szCs w:val="20"/>
              </w:rPr>
              <w:t>2.817.526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right"/>
              <w:rPr>
                <w:sz w:val="20"/>
                <w:szCs w:val="20"/>
              </w:rPr>
            </w:pPr>
            <w:r>
              <w:rPr>
                <w:sz w:val="20"/>
                <w:szCs w:val="20"/>
              </w:rPr>
              <w:t>3.545.189</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2.656.727</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208.282</w:t>
            </w: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both"/>
              <w:rPr>
                <w:sz w:val="20"/>
                <w:szCs w:val="20"/>
              </w:rPr>
            </w:pPr>
            <w:r>
              <w:rPr>
                <w:sz w:val="20"/>
                <w:szCs w:val="20"/>
              </w:rPr>
              <w:t>Prihodi od imovine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rsidP="009066E6">
            <w:pPr>
              <w:pStyle w:val="Bezproreda"/>
              <w:ind w:left="108"/>
              <w:jc w:val="right"/>
              <w:rPr>
                <w:sz w:val="20"/>
                <w:szCs w:val="20"/>
              </w:rPr>
            </w:pPr>
            <w:r>
              <w:rPr>
                <w:sz w:val="20"/>
                <w:szCs w:val="20"/>
              </w:rPr>
              <w:t>299.315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right"/>
              <w:rPr>
                <w:sz w:val="20"/>
                <w:szCs w:val="20"/>
              </w:rPr>
            </w:pPr>
            <w:r>
              <w:rPr>
                <w:sz w:val="20"/>
                <w:szCs w:val="20"/>
              </w:rPr>
              <w:t>255.718</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196.332</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280.309</w:t>
            </w: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both"/>
              <w:rPr>
                <w:sz w:val="20"/>
                <w:szCs w:val="20"/>
              </w:rPr>
            </w:pPr>
            <w:r>
              <w:rPr>
                <w:sz w:val="20"/>
                <w:szCs w:val="20"/>
              </w:rPr>
              <w:t>Prihodi od upravnih i administrativnih pristojbi, pristojbi po posebnim propisima i naknada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rsidP="009066E6">
            <w:pPr>
              <w:pStyle w:val="Bezproreda"/>
              <w:ind w:left="108"/>
              <w:jc w:val="right"/>
              <w:rPr>
                <w:sz w:val="20"/>
                <w:szCs w:val="20"/>
              </w:rPr>
            </w:pPr>
            <w:r>
              <w:rPr>
                <w:sz w:val="20"/>
                <w:szCs w:val="20"/>
              </w:rPr>
              <w:t>2.651.362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right"/>
              <w:rPr>
                <w:sz w:val="20"/>
                <w:szCs w:val="20"/>
              </w:rPr>
            </w:pPr>
            <w:r>
              <w:rPr>
                <w:sz w:val="20"/>
                <w:szCs w:val="20"/>
              </w:rPr>
              <w:t>2.581.763</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1.510.460</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1.792.368</w:t>
            </w: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both"/>
              <w:rPr>
                <w:sz w:val="20"/>
                <w:szCs w:val="20"/>
              </w:rPr>
            </w:pPr>
            <w:r>
              <w:rPr>
                <w:sz w:val="20"/>
                <w:szCs w:val="20"/>
              </w:rPr>
              <w:t>Prihodi od prodaje proizvoda i robe te pruženih usluga  i prihodi od donacija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rsidP="009066E6">
            <w:pPr>
              <w:pStyle w:val="Bezproreda"/>
              <w:ind w:left="108"/>
              <w:jc w:val="right"/>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8.150</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rsidP="00D43AD7">
            <w:pPr>
              <w:pStyle w:val="Bezproreda"/>
              <w:ind w:left="108"/>
              <w:rPr>
                <w:sz w:val="20"/>
                <w:szCs w:val="20"/>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right"/>
              <w:rPr>
                <w:sz w:val="20"/>
                <w:szCs w:val="20"/>
              </w:rPr>
            </w:pP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both"/>
              <w:rPr>
                <w:sz w:val="20"/>
                <w:szCs w:val="20"/>
              </w:rPr>
            </w:pPr>
            <w:r>
              <w:rPr>
                <w:sz w:val="20"/>
                <w:szCs w:val="20"/>
              </w:rPr>
              <w:t>Kazne, upravne mjere i ostali prihodi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rsidP="009066E6">
            <w:pPr>
              <w:pStyle w:val="Bezproreda"/>
              <w:ind w:left="108"/>
              <w:jc w:val="right"/>
              <w:rPr>
                <w:sz w:val="20"/>
                <w:szCs w:val="20"/>
              </w:rPr>
            </w:pPr>
            <w:r>
              <w:rPr>
                <w:sz w:val="20"/>
                <w:szCs w:val="20"/>
              </w:rPr>
              <w:t>133.454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111.432</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64.673</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12.659</w:t>
            </w: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4740D7">
            <w:pPr>
              <w:pStyle w:val="Bezproreda"/>
              <w:ind w:left="108"/>
              <w:jc w:val="both"/>
              <w:rPr>
                <w:b/>
              </w:rPr>
            </w:pPr>
            <w:r>
              <w:rPr>
                <w:b/>
              </w:rPr>
              <w:t>UKUPNO PRIHODI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4740D7" w:rsidP="009066E6">
            <w:pPr>
              <w:pStyle w:val="Bezproreda"/>
              <w:ind w:left="108"/>
              <w:jc w:val="right"/>
              <w:rPr>
                <w:b/>
              </w:rPr>
            </w:pPr>
            <w:r>
              <w:rPr>
                <w:b/>
              </w:rPr>
              <w:t>10.497.418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D43AD7">
            <w:pPr>
              <w:pStyle w:val="Bezproreda"/>
              <w:ind w:left="108"/>
              <w:jc w:val="right"/>
              <w:rPr>
                <w:b/>
              </w:rPr>
            </w:pPr>
            <w:r>
              <w:rPr>
                <w:b/>
              </w:rPr>
              <w:t>10.625.534</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D43AD7">
            <w:pPr>
              <w:pStyle w:val="Bezproreda"/>
              <w:ind w:left="108"/>
              <w:jc w:val="right"/>
              <w:rPr>
                <w:b/>
              </w:rPr>
            </w:pPr>
            <w:r>
              <w:rPr>
                <w:b/>
              </w:rPr>
              <w:t>7.641.876</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D43AD7">
            <w:pPr>
              <w:pStyle w:val="Bezproreda"/>
              <w:ind w:left="108"/>
              <w:jc w:val="right"/>
              <w:rPr>
                <w:b/>
              </w:rPr>
            </w:pPr>
            <w:r>
              <w:rPr>
                <w:b/>
              </w:rPr>
              <w:t>8.299.796</w:t>
            </w: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both"/>
            </w:pPr>
            <w:r>
              <w:t>Prihodi od prodaje neproizvedene dugotrajne imovine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rsidP="009066E6">
            <w:pPr>
              <w:pStyle w:val="Bezproreda"/>
              <w:ind w:left="108"/>
              <w:jc w:val="right"/>
              <w:rPr>
                <w:sz w:val="20"/>
                <w:szCs w:val="20"/>
              </w:rPr>
            </w:pPr>
            <w:r>
              <w:rPr>
                <w:sz w:val="20"/>
                <w:szCs w:val="20"/>
              </w:rPr>
              <w:t>239.764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358.000</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327.500</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D43AD7">
            <w:pPr>
              <w:pStyle w:val="Bezproreda"/>
              <w:ind w:left="108"/>
              <w:jc w:val="right"/>
              <w:rPr>
                <w:sz w:val="20"/>
                <w:szCs w:val="20"/>
              </w:rPr>
            </w:pPr>
            <w:r>
              <w:rPr>
                <w:sz w:val="20"/>
                <w:szCs w:val="20"/>
              </w:rPr>
              <w:t>116.018</w:t>
            </w: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both"/>
              <w:rPr>
                <w:sz w:val="20"/>
                <w:szCs w:val="20"/>
              </w:rPr>
            </w:pPr>
            <w:r>
              <w:rPr>
                <w:sz w:val="20"/>
                <w:szCs w:val="20"/>
              </w:rPr>
              <w:t>Prihodi od prodaje proizvedene dugotrajne imovine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rsidP="009066E6">
            <w:pPr>
              <w:pStyle w:val="Bezproreda"/>
              <w:ind w:left="108"/>
              <w:jc w:val="right"/>
              <w:rPr>
                <w:b/>
                <w:sz w:val="20"/>
                <w:szCs w:val="20"/>
              </w:rPr>
            </w:pPr>
            <w:r>
              <w:rPr>
                <w:b/>
                <w:sz w:val="20"/>
                <w:szCs w:val="20"/>
              </w:rPr>
              <w:t>521.354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right"/>
              <w:rPr>
                <w:b/>
                <w:sz w:val="20"/>
                <w:szCs w:val="20"/>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right"/>
              <w:rPr>
                <w:b/>
                <w:sz w:val="20"/>
                <w:szCs w:val="20"/>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0D7" w:rsidRDefault="004740D7">
            <w:pPr>
              <w:pStyle w:val="Bezproreda"/>
              <w:ind w:left="108"/>
              <w:jc w:val="right"/>
              <w:rPr>
                <w:b/>
                <w:sz w:val="20"/>
                <w:szCs w:val="20"/>
              </w:rPr>
            </w:pP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4740D7">
            <w:pPr>
              <w:pStyle w:val="Bezproreda"/>
              <w:ind w:left="108"/>
              <w:jc w:val="both"/>
              <w:rPr>
                <w:b/>
              </w:rPr>
            </w:pPr>
            <w:r>
              <w:rPr>
                <w:b/>
              </w:rPr>
              <w:t>UKUPNO PRIHODI OD NEFINANCIJSKE IMOVINE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4740D7" w:rsidP="009066E6">
            <w:pPr>
              <w:pStyle w:val="Bezproreda"/>
              <w:ind w:left="108"/>
              <w:jc w:val="right"/>
              <w:rPr>
                <w:b/>
              </w:rPr>
            </w:pPr>
            <w:r>
              <w:rPr>
                <w:b/>
              </w:rPr>
              <w:t>761.118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D43AD7">
            <w:pPr>
              <w:pStyle w:val="Bezproreda"/>
              <w:ind w:left="108"/>
              <w:jc w:val="right"/>
              <w:rPr>
                <w:b/>
              </w:rPr>
            </w:pPr>
            <w:r>
              <w:rPr>
                <w:b/>
              </w:rPr>
              <w:t>358.000</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D43AD7">
            <w:pPr>
              <w:pStyle w:val="Bezproreda"/>
              <w:ind w:left="108"/>
              <w:jc w:val="right"/>
              <w:rPr>
                <w:b/>
              </w:rPr>
            </w:pPr>
            <w:r>
              <w:rPr>
                <w:b/>
              </w:rPr>
              <w:t>327.500</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740D7" w:rsidRDefault="00D43AD7">
            <w:pPr>
              <w:pStyle w:val="Bezproreda"/>
              <w:ind w:left="108"/>
              <w:jc w:val="right"/>
              <w:rPr>
                <w:b/>
              </w:rPr>
            </w:pPr>
            <w:r>
              <w:rPr>
                <w:b/>
              </w:rPr>
              <w:t>116.018</w:t>
            </w:r>
          </w:p>
        </w:tc>
      </w:tr>
      <w:tr w:rsidR="004740D7" w:rsidTr="004740D7">
        <w:trPr>
          <w:trHeight w:val="405"/>
        </w:trPr>
        <w:tc>
          <w:tcPr>
            <w:tcW w:w="3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4740D7" w:rsidRDefault="004740D7">
            <w:pPr>
              <w:pStyle w:val="Bezproreda"/>
              <w:ind w:left="108"/>
              <w:jc w:val="both"/>
              <w:rPr>
                <w:b/>
              </w:rPr>
            </w:pPr>
            <w:r>
              <w:rPr>
                <w:b/>
              </w:rPr>
              <w:t>UKUPNO PRIHODI I PRIMICI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4740D7" w:rsidRDefault="004740D7" w:rsidP="009066E6">
            <w:pPr>
              <w:pStyle w:val="Bezproreda"/>
              <w:ind w:left="108"/>
              <w:jc w:val="right"/>
              <w:rPr>
                <w:b/>
              </w:rPr>
            </w:pPr>
            <w:r>
              <w:rPr>
                <w:b/>
              </w:rPr>
              <w:t>11.258.536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4740D7" w:rsidRDefault="00D43AD7">
            <w:pPr>
              <w:pStyle w:val="Bezproreda"/>
              <w:ind w:left="108"/>
              <w:jc w:val="right"/>
              <w:rPr>
                <w:b/>
              </w:rPr>
            </w:pPr>
            <w:r>
              <w:rPr>
                <w:b/>
              </w:rPr>
              <w:t>10.983.534</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4740D7" w:rsidRDefault="00D43AD7">
            <w:pPr>
              <w:pStyle w:val="Bezproreda"/>
              <w:ind w:left="108"/>
              <w:jc w:val="right"/>
              <w:rPr>
                <w:b/>
              </w:rPr>
            </w:pPr>
            <w:r>
              <w:rPr>
                <w:b/>
              </w:rPr>
              <w:t>7.969.376</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4740D7" w:rsidRDefault="00D43AD7">
            <w:pPr>
              <w:pStyle w:val="Bezproreda"/>
              <w:ind w:left="108"/>
              <w:jc w:val="right"/>
              <w:rPr>
                <w:b/>
              </w:rPr>
            </w:pPr>
            <w:r>
              <w:rPr>
                <w:b/>
              </w:rPr>
              <w:t>8.415.814</w:t>
            </w:r>
          </w:p>
        </w:tc>
      </w:tr>
    </w:tbl>
    <w:p w:rsidR="00173081" w:rsidRDefault="00173081" w:rsidP="00173081">
      <w:pPr>
        <w:pStyle w:val="Bezproreda"/>
      </w:pPr>
    </w:p>
    <w:p w:rsidR="000C7DFB" w:rsidRDefault="00173081" w:rsidP="00173081">
      <w:pPr>
        <w:pStyle w:val="Bezproreda"/>
        <w:jc w:val="both"/>
      </w:pPr>
      <w:r>
        <w:t>U 201</w:t>
      </w:r>
      <w:r w:rsidR="007933C0">
        <w:t>7. godini ostvareno je 1,20</w:t>
      </w:r>
      <w:r>
        <w:t xml:space="preserve">% </w:t>
      </w:r>
      <w:r w:rsidR="007933C0">
        <w:t>više</w:t>
      </w:r>
      <w:r>
        <w:t xml:space="preserve"> prihoda u odnosu na 201</w:t>
      </w:r>
      <w:r w:rsidR="007933C0">
        <w:t>6</w:t>
      </w:r>
      <w:r>
        <w:t>. godinu.  Porezni prihodi 201</w:t>
      </w:r>
      <w:r w:rsidR="007933C0">
        <w:t>7</w:t>
      </w:r>
      <w:r>
        <w:t>.g. u odnosu na 201</w:t>
      </w:r>
      <w:r w:rsidR="007933C0">
        <w:t>6</w:t>
      </w:r>
      <w:r>
        <w:t>.g. ostvareni su</w:t>
      </w:r>
      <w:r w:rsidR="007933C0">
        <w:t xml:space="preserve"> 10,30</w:t>
      </w:r>
      <w:r>
        <w:t xml:space="preserve">% </w:t>
      </w:r>
      <w:r w:rsidR="007933C0">
        <w:t>manje</w:t>
      </w:r>
      <w:r>
        <w:t>.  Pomoći iz inozemstva i od ostalih subjekata unutar općeg proračuna u 201</w:t>
      </w:r>
      <w:r w:rsidR="007933C0">
        <w:t>7</w:t>
      </w:r>
      <w:r>
        <w:t>.g. u odnosu na 201</w:t>
      </w:r>
      <w:r w:rsidR="007933C0">
        <w:t>6</w:t>
      </w:r>
      <w:r>
        <w:t>.g. ostvarene su za</w:t>
      </w:r>
      <w:r w:rsidR="007933C0">
        <w:t xml:space="preserve"> 25,80</w:t>
      </w:r>
      <w:r>
        <w:t xml:space="preserve"> </w:t>
      </w:r>
      <w:r w:rsidR="007933C0">
        <w:t>više</w:t>
      </w:r>
      <w:r>
        <w:t xml:space="preserve">, a na to </w:t>
      </w:r>
      <w:r w:rsidR="007933C0">
        <w:t xml:space="preserve">povećanje utjecale </w:t>
      </w:r>
      <w:r w:rsidR="007933C0">
        <w:lastRenderedPageBreak/>
        <w:t>su  povećanje prihoda od tekućih pomoći iz državnog proračuna</w:t>
      </w:r>
      <w:r w:rsidR="000C7DFB">
        <w:t>,</w:t>
      </w:r>
      <w:r w:rsidR="007933C0">
        <w:t xml:space="preserve"> pomoći za ublažavanje posljedica od elementarne nepogode od poplava</w:t>
      </w:r>
      <w:r w:rsidR="000C7DFB">
        <w:t xml:space="preserve"> te p</w:t>
      </w:r>
      <w:r w:rsidR="007933C0">
        <w:t>omoći iz državnog proračuna kao kompenzacijske mjere pomoći jedinicama lokalne i područne (regionalne) samouprave temeljem Zakona o izvršavanju Državnog proračuna Republike Hrvatske za 2017.g. (NN.br.119/16, i 113/17</w:t>
      </w:r>
      <w:r w:rsidR="000C7DFB">
        <w:t>).</w:t>
      </w:r>
    </w:p>
    <w:p w:rsidR="000C7DFB" w:rsidRDefault="000C7DFB" w:rsidP="00173081">
      <w:pPr>
        <w:pStyle w:val="Bezproreda"/>
        <w:jc w:val="both"/>
      </w:pPr>
      <w:r>
        <w:t>Prihodi od imovine u 2017. godini ostvareni su u iznosu od 255.718 kuna što je 14,60% manje nego na izvršenje 2016.g. koje je iznosilo 299.315.</w:t>
      </w:r>
      <w:r w:rsidR="00173081">
        <w:t xml:space="preserve"> </w:t>
      </w:r>
    </w:p>
    <w:p w:rsidR="000C7DFB" w:rsidRDefault="000C7DFB" w:rsidP="00173081">
      <w:pPr>
        <w:pStyle w:val="Bezproreda"/>
        <w:jc w:val="both"/>
      </w:pPr>
      <w:r>
        <w:t xml:space="preserve">Iz prikazanog tabelarnog prikaza izvršenja prihoda </w:t>
      </w:r>
      <w:r w:rsidRPr="000C7DFB">
        <w:t>upravnih i administrativnih pristojbi, pristojbi po</w:t>
      </w:r>
      <w:r>
        <w:rPr>
          <w:sz w:val="20"/>
          <w:szCs w:val="20"/>
        </w:rPr>
        <w:t xml:space="preserve"> </w:t>
      </w:r>
      <w:r w:rsidRPr="000C7DFB">
        <w:t>posebnim propisima i naknada</w:t>
      </w:r>
      <w:r>
        <w:t xml:space="preserve"> vidljiv je i blag pad prihoda tj. 2,60%. Koji u 2017.g. iznose 2.581.763 kune.</w:t>
      </w:r>
    </w:p>
    <w:p w:rsidR="00173081" w:rsidRDefault="000C7DFB" w:rsidP="00173081">
      <w:pPr>
        <w:pStyle w:val="Bezproreda"/>
        <w:jc w:val="both"/>
      </w:pPr>
      <w:r>
        <w:t>Prihodi od prodaje neproizvedene dugotrajne imovine u 2017.g. ostvareni su u iznosu od 358.000 kuna što je 53% manje u odnosu na izvršenje 2016.g.</w:t>
      </w:r>
    </w:p>
    <w:p w:rsidR="000C7DFB" w:rsidRDefault="000C7DFB" w:rsidP="00173081">
      <w:pPr>
        <w:pStyle w:val="Bezproreda"/>
        <w:jc w:val="both"/>
        <w:rPr>
          <w:b/>
        </w:rPr>
      </w:pPr>
    </w:p>
    <w:p w:rsidR="00173081" w:rsidRDefault="00173081" w:rsidP="00173081">
      <w:pPr>
        <w:pStyle w:val="Bezproreda"/>
        <w:jc w:val="both"/>
        <w:rPr>
          <w:b/>
        </w:rPr>
      </w:pPr>
      <w:r>
        <w:rPr>
          <w:b/>
        </w:rPr>
        <w:t>IZVJEŠTAJ O RASHODIMA I IZDACIMA</w:t>
      </w:r>
    </w:p>
    <w:tbl>
      <w:tblPr>
        <w:tblStyle w:val="Reetkatablice"/>
        <w:tblW w:w="9600" w:type="dxa"/>
        <w:tblLayout w:type="fixed"/>
        <w:tblLook w:val="04A0" w:firstRow="1" w:lastRow="0" w:firstColumn="1" w:lastColumn="0" w:noHBand="0" w:noVBand="1"/>
      </w:tblPr>
      <w:tblGrid>
        <w:gridCol w:w="3934"/>
        <w:gridCol w:w="1416"/>
        <w:gridCol w:w="1417"/>
        <w:gridCol w:w="1268"/>
        <w:gridCol w:w="1565"/>
      </w:tblGrid>
      <w:tr w:rsidR="00173081" w:rsidTr="00173081">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173081">
            <w:pPr>
              <w:pStyle w:val="Bezproreda"/>
              <w:jc w:val="both"/>
              <w:rPr>
                <w:b/>
              </w:rPr>
            </w:pPr>
            <w:r>
              <w:rPr>
                <w:b/>
              </w:rPr>
              <w:t>RASHODI I IZDACI PO VRSTI</w:t>
            </w:r>
          </w:p>
        </w:tc>
        <w:tc>
          <w:tcPr>
            <w:tcW w:w="1417"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rsidR="00173081" w:rsidRDefault="00173081">
            <w:pPr>
              <w:pStyle w:val="Bezproreda"/>
              <w:jc w:val="both"/>
              <w:rPr>
                <w:b/>
              </w:rPr>
            </w:pPr>
            <w:r>
              <w:rPr>
                <w:b/>
              </w:rPr>
              <w:t>IZVRŠENJE</w:t>
            </w:r>
          </w:p>
          <w:p w:rsidR="00173081" w:rsidRDefault="00173081">
            <w:pPr>
              <w:pStyle w:val="Bezproreda"/>
              <w:jc w:val="both"/>
              <w:rPr>
                <w:b/>
              </w:rPr>
            </w:pPr>
            <w:r>
              <w:rPr>
                <w:b/>
              </w:rPr>
              <w:t>201</w:t>
            </w:r>
            <w:r w:rsidR="000C7DFB">
              <w:rPr>
                <w:b/>
              </w:rPr>
              <w:t>6</w:t>
            </w:r>
          </w:p>
        </w:tc>
        <w:tc>
          <w:tcPr>
            <w:tcW w:w="1418"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rsidR="00173081" w:rsidRDefault="00173081">
            <w:pPr>
              <w:pStyle w:val="Bezproreda"/>
              <w:jc w:val="both"/>
              <w:rPr>
                <w:b/>
              </w:rPr>
            </w:pPr>
            <w:r>
              <w:rPr>
                <w:b/>
              </w:rPr>
              <w:t>IZVRŠENJE</w:t>
            </w:r>
          </w:p>
          <w:p w:rsidR="00173081" w:rsidRDefault="00173081">
            <w:pPr>
              <w:pStyle w:val="Bezproreda"/>
              <w:jc w:val="both"/>
              <w:rPr>
                <w:b/>
              </w:rPr>
            </w:pPr>
            <w:r>
              <w:rPr>
                <w:b/>
              </w:rPr>
              <w:t>201</w:t>
            </w:r>
            <w:r w:rsidR="000C7DFB">
              <w:rPr>
                <w:b/>
              </w:rPr>
              <w:t>7</w:t>
            </w:r>
          </w:p>
        </w:tc>
        <w:tc>
          <w:tcPr>
            <w:tcW w:w="126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rsidR="00173081" w:rsidRDefault="00173081">
            <w:pPr>
              <w:pStyle w:val="Bezproreda"/>
              <w:jc w:val="both"/>
              <w:rPr>
                <w:b/>
              </w:rPr>
            </w:pPr>
            <w:r>
              <w:rPr>
                <w:b/>
              </w:rPr>
              <w:t>IZVRŠENJE</w:t>
            </w:r>
          </w:p>
          <w:p w:rsidR="00173081" w:rsidRDefault="00173081">
            <w:pPr>
              <w:pStyle w:val="Bezproreda"/>
              <w:jc w:val="both"/>
              <w:rPr>
                <w:b/>
              </w:rPr>
            </w:pPr>
            <w:r>
              <w:rPr>
                <w:b/>
              </w:rPr>
              <w:t>30.09.201</w:t>
            </w:r>
            <w:r w:rsidR="000C7DFB">
              <w:rPr>
                <w:b/>
              </w:rPr>
              <w:t>7</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173081">
            <w:pPr>
              <w:pStyle w:val="Bezproreda"/>
              <w:jc w:val="both"/>
              <w:rPr>
                <w:b/>
              </w:rPr>
            </w:pPr>
            <w:r>
              <w:rPr>
                <w:b/>
              </w:rPr>
              <w:t>IZVRŠENJE</w:t>
            </w:r>
          </w:p>
          <w:p w:rsidR="00173081" w:rsidRDefault="00173081">
            <w:pPr>
              <w:pStyle w:val="Bezproreda"/>
              <w:jc w:val="both"/>
              <w:rPr>
                <w:b/>
              </w:rPr>
            </w:pPr>
            <w:r>
              <w:rPr>
                <w:b/>
              </w:rPr>
              <w:t>30.09.201</w:t>
            </w:r>
            <w:r w:rsidR="000C7DFB">
              <w:rPr>
                <w:b/>
              </w:rPr>
              <w:t>8</w:t>
            </w:r>
          </w:p>
        </w:tc>
      </w:tr>
      <w:tr w:rsidR="00173081" w:rsidTr="00173081">
        <w:trPr>
          <w:trHeight w:val="405"/>
        </w:trPr>
        <w:tc>
          <w:tcPr>
            <w:tcW w:w="3936" w:type="dxa"/>
            <w:tcBorders>
              <w:top w:val="single" w:sz="4" w:space="0" w:color="auto"/>
              <w:left w:val="single" w:sz="4" w:space="0" w:color="auto"/>
              <w:bottom w:val="single" w:sz="4" w:space="0" w:color="auto"/>
              <w:right w:val="single" w:sz="4" w:space="0" w:color="auto"/>
            </w:tcBorders>
            <w:hideMark/>
          </w:tcPr>
          <w:p w:rsidR="00173081" w:rsidRDefault="00173081">
            <w:pPr>
              <w:pStyle w:val="Bezproreda"/>
              <w:ind w:left="108"/>
              <w:jc w:val="both"/>
              <w:rPr>
                <w:sz w:val="20"/>
                <w:szCs w:val="20"/>
              </w:rPr>
            </w:pPr>
            <w:r>
              <w:rPr>
                <w:sz w:val="20"/>
                <w:szCs w:val="20"/>
              </w:rPr>
              <w:t>Rashodi za zaposlene</w:t>
            </w:r>
          </w:p>
        </w:tc>
        <w:tc>
          <w:tcPr>
            <w:tcW w:w="1417" w:type="dxa"/>
            <w:tcBorders>
              <w:top w:val="single" w:sz="4" w:space="0" w:color="auto"/>
              <w:left w:val="single" w:sz="4" w:space="0" w:color="auto"/>
              <w:bottom w:val="single" w:sz="4" w:space="0" w:color="auto"/>
              <w:right w:val="single" w:sz="4" w:space="0" w:color="auto"/>
            </w:tcBorders>
            <w:hideMark/>
          </w:tcPr>
          <w:p w:rsidR="00173081" w:rsidRDefault="00DD1660">
            <w:pPr>
              <w:pStyle w:val="Bezproreda"/>
              <w:ind w:left="108"/>
              <w:jc w:val="right"/>
              <w:rPr>
                <w:sz w:val="20"/>
                <w:szCs w:val="20"/>
              </w:rPr>
            </w:pPr>
            <w:r>
              <w:rPr>
                <w:sz w:val="20"/>
                <w:szCs w:val="20"/>
              </w:rPr>
              <w:t>1,480.657</w:t>
            </w:r>
          </w:p>
        </w:tc>
        <w:tc>
          <w:tcPr>
            <w:tcW w:w="1418" w:type="dxa"/>
            <w:tcBorders>
              <w:top w:val="single" w:sz="4" w:space="0" w:color="auto"/>
              <w:left w:val="single" w:sz="4" w:space="0" w:color="auto"/>
              <w:bottom w:val="single" w:sz="4" w:space="0" w:color="auto"/>
              <w:right w:val="single" w:sz="4" w:space="0" w:color="auto"/>
            </w:tcBorders>
            <w:hideMark/>
          </w:tcPr>
          <w:p w:rsidR="00173081" w:rsidRDefault="00DD1660">
            <w:pPr>
              <w:pStyle w:val="Bezproreda"/>
              <w:ind w:left="108"/>
              <w:jc w:val="right"/>
              <w:rPr>
                <w:sz w:val="20"/>
                <w:szCs w:val="20"/>
              </w:rPr>
            </w:pPr>
            <w:r>
              <w:rPr>
                <w:sz w:val="20"/>
                <w:szCs w:val="20"/>
              </w:rPr>
              <w:t>1.843.053</w:t>
            </w:r>
          </w:p>
        </w:tc>
        <w:tc>
          <w:tcPr>
            <w:tcW w:w="1269" w:type="dxa"/>
            <w:tcBorders>
              <w:top w:val="single" w:sz="4" w:space="0" w:color="auto"/>
              <w:left w:val="single" w:sz="4" w:space="0" w:color="auto"/>
              <w:bottom w:val="single" w:sz="4" w:space="0" w:color="auto"/>
              <w:right w:val="single" w:sz="4" w:space="0" w:color="auto"/>
            </w:tcBorders>
            <w:hideMark/>
          </w:tcPr>
          <w:p w:rsidR="00173081" w:rsidRDefault="008E550D" w:rsidP="008E550D">
            <w:pPr>
              <w:pStyle w:val="Bezproreda"/>
              <w:jc w:val="right"/>
              <w:rPr>
                <w:sz w:val="20"/>
                <w:szCs w:val="20"/>
              </w:rPr>
            </w:pPr>
            <w:r>
              <w:rPr>
                <w:sz w:val="20"/>
                <w:szCs w:val="20"/>
              </w:rPr>
              <w:t>1.264.083</w:t>
            </w:r>
          </w:p>
        </w:tc>
        <w:tc>
          <w:tcPr>
            <w:tcW w:w="1566" w:type="dxa"/>
            <w:tcBorders>
              <w:top w:val="single" w:sz="4" w:space="0" w:color="auto"/>
              <w:left w:val="single" w:sz="4" w:space="0" w:color="auto"/>
              <w:bottom w:val="single" w:sz="4" w:space="0" w:color="auto"/>
              <w:right w:val="single" w:sz="4" w:space="0" w:color="auto"/>
            </w:tcBorders>
            <w:hideMark/>
          </w:tcPr>
          <w:p w:rsidR="00173081" w:rsidRDefault="008E550D">
            <w:pPr>
              <w:pStyle w:val="Bezproreda"/>
              <w:ind w:left="108"/>
              <w:jc w:val="right"/>
              <w:rPr>
                <w:sz w:val="20"/>
                <w:szCs w:val="20"/>
              </w:rPr>
            </w:pPr>
            <w:r>
              <w:rPr>
                <w:sz w:val="20"/>
                <w:szCs w:val="20"/>
              </w:rPr>
              <w:t>1.287.745</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Materijalni rashodi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0C7DFB">
            <w:pPr>
              <w:pStyle w:val="Bezproreda"/>
              <w:ind w:left="108"/>
              <w:jc w:val="right"/>
              <w:rPr>
                <w:sz w:val="20"/>
                <w:szCs w:val="20"/>
              </w:rPr>
            </w:pPr>
            <w:r>
              <w:rPr>
                <w:sz w:val="20"/>
                <w:szCs w:val="20"/>
              </w:rPr>
              <w:t>4.477.751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0C7DFB" w:rsidP="008E550D">
            <w:pPr>
              <w:pStyle w:val="Bezproreda"/>
              <w:ind w:left="108"/>
              <w:jc w:val="right"/>
              <w:rPr>
                <w:sz w:val="20"/>
                <w:szCs w:val="20"/>
              </w:rPr>
            </w:pPr>
            <w:r>
              <w:rPr>
                <w:sz w:val="20"/>
                <w:szCs w:val="20"/>
              </w:rPr>
              <w:t>4.793.141</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3.106.473</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4.995.835</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Financijski rashodi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72.129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96.677</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14.860</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84.934</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Pomoći dane u inozemstvo i unutar općeg proračuna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81" w:rsidRDefault="008E550D">
            <w:pPr>
              <w:pStyle w:val="Bezproreda"/>
              <w:ind w:left="108"/>
              <w:jc w:val="right"/>
              <w:rPr>
                <w:sz w:val="20"/>
                <w:szCs w:val="20"/>
              </w:rPr>
            </w:pPr>
            <w:r>
              <w:rPr>
                <w:sz w:val="20"/>
                <w:szCs w:val="20"/>
              </w:rPr>
              <w:t>834.441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DD1660" w:rsidP="008E550D">
            <w:pPr>
              <w:pStyle w:val="Bezproreda"/>
              <w:ind w:left="108"/>
              <w:jc w:val="right"/>
              <w:rPr>
                <w:sz w:val="20"/>
                <w:szCs w:val="20"/>
              </w:rPr>
            </w:pPr>
            <w:r>
              <w:rPr>
                <w:sz w:val="20"/>
                <w:szCs w:val="20"/>
              </w:rPr>
              <w:t>736.068</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527.777</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774.314</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Naknade građanima i kućanstvima na temelju osiguranja i druge naknade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537.886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800.735</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DD1660">
            <w:pPr>
              <w:pStyle w:val="Bezproreda"/>
              <w:ind w:left="108"/>
              <w:jc w:val="right"/>
              <w:rPr>
                <w:sz w:val="20"/>
                <w:szCs w:val="20"/>
              </w:rPr>
            </w:pPr>
            <w:r>
              <w:rPr>
                <w:sz w:val="20"/>
                <w:szCs w:val="20"/>
              </w:rPr>
              <w:t>476.027</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DD1660">
            <w:pPr>
              <w:pStyle w:val="Bezproreda"/>
              <w:ind w:left="108"/>
              <w:jc w:val="right"/>
              <w:rPr>
                <w:sz w:val="20"/>
                <w:szCs w:val="20"/>
              </w:rPr>
            </w:pPr>
            <w:r>
              <w:rPr>
                <w:sz w:val="20"/>
                <w:szCs w:val="20"/>
              </w:rPr>
              <w:t>401.493</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Ostali rashodi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644.050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618.141</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DD1660">
            <w:pPr>
              <w:pStyle w:val="Bezproreda"/>
              <w:ind w:left="108"/>
              <w:jc w:val="right"/>
              <w:rPr>
                <w:sz w:val="20"/>
                <w:szCs w:val="20"/>
              </w:rPr>
            </w:pPr>
            <w:r>
              <w:rPr>
                <w:sz w:val="20"/>
                <w:szCs w:val="20"/>
              </w:rPr>
              <w:t>444.991</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DD1660">
            <w:pPr>
              <w:pStyle w:val="Bezproreda"/>
              <w:ind w:left="108"/>
              <w:jc w:val="right"/>
              <w:rPr>
                <w:sz w:val="20"/>
                <w:szCs w:val="20"/>
              </w:rPr>
            </w:pPr>
            <w:r>
              <w:rPr>
                <w:sz w:val="20"/>
                <w:szCs w:val="20"/>
              </w:rPr>
              <w:t>521.566</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173081">
            <w:pPr>
              <w:pStyle w:val="Bezproreda"/>
              <w:ind w:left="108"/>
              <w:jc w:val="both"/>
              <w:rPr>
                <w:b/>
              </w:rPr>
            </w:pPr>
            <w:r>
              <w:rPr>
                <w:b/>
              </w:rPr>
              <w:t>UKUPNI RASHODI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8E550D" w:rsidP="008E550D">
            <w:pPr>
              <w:pStyle w:val="Bezproreda"/>
              <w:ind w:left="108"/>
              <w:jc w:val="right"/>
              <w:rPr>
                <w:b/>
              </w:rPr>
            </w:pPr>
            <w:r>
              <w:rPr>
                <w:b/>
              </w:rPr>
              <w:t>8.046.914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8E550D">
            <w:pPr>
              <w:pStyle w:val="Bezproreda"/>
              <w:ind w:left="108"/>
              <w:jc w:val="right"/>
              <w:rPr>
                <w:b/>
              </w:rPr>
            </w:pPr>
            <w:r>
              <w:rPr>
                <w:b/>
              </w:rPr>
              <w:t>8.887.815</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DD1660">
            <w:pPr>
              <w:pStyle w:val="Bezproreda"/>
              <w:ind w:left="108"/>
              <w:jc w:val="right"/>
              <w:rPr>
                <w:b/>
              </w:rPr>
            </w:pPr>
            <w:r>
              <w:rPr>
                <w:b/>
              </w:rPr>
              <w:t>5.834.211</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DD1660" w:rsidP="00981F3F">
            <w:pPr>
              <w:pStyle w:val="Bezproreda"/>
              <w:ind w:left="108"/>
              <w:jc w:val="right"/>
              <w:rPr>
                <w:b/>
              </w:rPr>
            </w:pPr>
            <w:r>
              <w:rPr>
                <w:b/>
              </w:rPr>
              <w:t>8.06</w:t>
            </w:r>
            <w:r w:rsidR="00981F3F">
              <w:rPr>
                <w:b/>
              </w:rPr>
              <w:t>5</w:t>
            </w:r>
            <w:r>
              <w:rPr>
                <w:b/>
              </w:rPr>
              <w:t>.887</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pPr>
            <w:r>
              <w:t>Rashodi za nabavu neproizvedene dugotrajne imovine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1.382.179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649.633</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DD1660">
            <w:pPr>
              <w:pStyle w:val="Bezproreda"/>
              <w:ind w:left="108"/>
              <w:jc w:val="right"/>
              <w:rPr>
                <w:sz w:val="20"/>
                <w:szCs w:val="20"/>
              </w:rPr>
            </w:pPr>
            <w:r>
              <w:rPr>
                <w:sz w:val="20"/>
                <w:szCs w:val="20"/>
              </w:rPr>
              <w:t>649.633</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DD1660">
            <w:pPr>
              <w:pStyle w:val="Bezproreda"/>
              <w:ind w:left="108"/>
              <w:jc w:val="right"/>
              <w:rPr>
                <w:sz w:val="20"/>
                <w:szCs w:val="20"/>
              </w:rPr>
            </w:pPr>
            <w:r>
              <w:rPr>
                <w:sz w:val="20"/>
                <w:szCs w:val="20"/>
              </w:rPr>
              <w:t>191.165</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Pr="00DD1660" w:rsidRDefault="00173081">
            <w:pPr>
              <w:pStyle w:val="Bezproreda"/>
              <w:ind w:left="108"/>
              <w:jc w:val="both"/>
            </w:pPr>
            <w:r w:rsidRPr="00DD1660">
              <w:t>Rashodi za nabavu proizvedene dugotrajne imovine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707.813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E550D">
            <w:pPr>
              <w:pStyle w:val="Bezproreda"/>
              <w:ind w:left="108"/>
              <w:jc w:val="right"/>
              <w:rPr>
                <w:sz w:val="20"/>
                <w:szCs w:val="20"/>
              </w:rPr>
            </w:pPr>
            <w:r>
              <w:rPr>
                <w:sz w:val="20"/>
                <w:szCs w:val="20"/>
              </w:rPr>
              <w:t>1.185.976</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DD1660">
            <w:pPr>
              <w:pStyle w:val="Bezproreda"/>
              <w:ind w:left="108"/>
              <w:jc w:val="right"/>
              <w:rPr>
                <w:sz w:val="20"/>
                <w:szCs w:val="20"/>
              </w:rPr>
            </w:pPr>
            <w:r>
              <w:rPr>
                <w:sz w:val="20"/>
                <w:szCs w:val="20"/>
              </w:rPr>
              <w:t>1.080.317</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DD1660">
            <w:pPr>
              <w:pStyle w:val="Bezproreda"/>
              <w:ind w:left="108"/>
              <w:jc w:val="right"/>
              <w:rPr>
                <w:sz w:val="20"/>
                <w:szCs w:val="20"/>
              </w:rPr>
            </w:pPr>
            <w:r>
              <w:rPr>
                <w:sz w:val="20"/>
                <w:szCs w:val="20"/>
              </w:rPr>
              <w:t>566.959</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173081">
            <w:pPr>
              <w:pStyle w:val="Bezproreda"/>
              <w:ind w:left="108"/>
              <w:jc w:val="both"/>
              <w:rPr>
                <w:b/>
              </w:rPr>
            </w:pPr>
            <w:r>
              <w:rPr>
                <w:b/>
              </w:rPr>
              <w:t>RASHODI ZA NABAVU NEFINANCIJSKE IMOVINE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8E550D">
            <w:pPr>
              <w:pStyle w:val="Bezproreda"/>
              <w:ind w:left="108"/>
              <w:jc w:val="right"/>
              <w:rPr>
                <w:b/>
              </w:rPr>
            </w:pPr>
            <w:r>
              <w:rPr>
                <w:b/>
              </w:rPr>
              <w:t>2.089.992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8E550D">
            <w:pPr>
              <w:pStyle w:val="Bezproreda"/>
              <w:ind w:left="108"/>
              <w:jc w:val="right"/>
              <w:rPr>
                <w:b/>
              </w:rPr>
            </w:pPr>
            <w:r>
              <w:rPr>
                <w:b/>
              </w:rPr>
              <w:t>1.835.609</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DD1660">
            <w:pPr>
              <w:pStyle w:val="Bezproreda"/>
              <w:ind w:left="108"/>
              <w:jc w:val="right"/>
              <w:rPr>
                <w:b/>
              </w:rPr>
            </w:pPr>
            <w:r>
              <w:rPr>
                <w:b/>
              </w:rPr>
              <w:t>1.729.950</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DD1660">
            <w:pPr>
              <w:pStyle w:val="Bezproreda"/>
              <w:ind w:left="108"/>
              <w:jc w:val="right"/>
              <w:rPr>
                <w:b/>
              </w:rPr>
            </w:pPr>
            <w:r>
              <w:rPr>
                <w:b/>
              </w:rPr>
              <w:t>758.124</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73081" w:rsidRDefault="00173081">
            <w:pPr>
              <w:pStyle w:val="Bezproreda"/>
              <w:ind w:left="108"/>
              <w:jc w:val="both"/>
              <w:rPr>
                <w:b/>
              </w:rPr>
            </w:pPr>
            <w:r>
              <w:rPr>
                <w:b/>
              </w:rPr>
              <w:t>UKUPNI RASHODI I IZDACI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73081" w:rsidRDefault="008E550D">
            <w:pPr>
              <w:pStyle w:val="Bezproreda"/>
              <w:ind w:left="108"/>
              <w:jc w:val="center"/>
              <w:rPr>
                <w:b/>
              </w:rPr>
            </w:pPr>
            <w:r>
              <w:rPr>
                <w:b/>
              </w:rPr>
              <w:t>10.136.906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73081" w:rsidRDefault="008E550D">
            <w:pPr>
              <w:pStyle w:val="Bezproreda"/>
              <w:ind w:left="108"/>
              <w:jc w:val="right"/>
              <w:rPr>
                <w:b/>
              </w:rPr>
            </w:pPr>
            <w:r>
              <w:rPr>
                <w:b/>
              </w:rPr>
              <w:t>10.723.424</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73081" w:rsidRDefault="00DD1660">
            <w:pPr>
              <w:pStyle w:val="Bezproreda"/>
              <w:ind w:left="108"/>
              <w:jc w:val="right"/>
              <w:rPr>
                <w:b/>
              </w:rPr>
            </w:pPr>
            <w:r>
              <w:rPr>
                <w:b/>
              </w:rPr>
              <w:t>7.564.161</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73081" w:rsidRDefault="00DD1660" w:rsidP="00981F3F">
            <w:pPr>
              <w:pStyle w:val="Bezproreda"/>
              <w:ind w:left="108"/>
              <w:jc w:val="right"/>
              <w:rPr>
                <w:b/>
              </w:rPr>
            </w:pPr>
            <w:r>
              <w:rPr>
                <w:b/>
              </w:rPr>
              <w:t>8.82</w:t>
            </w:r>
            <w:r w:rsidR="00981F3F">
              <w:rPr>
                <w:b/>
              </w:rPr>
              <w:t>4</w:t>
            </w:r>
            <w:r>
              <w:rPr>
                <w:b/>
              </w:rPr>
              <w:t>.011</w:t>
            </w:r>
          </w:p>
        </w:tc>
      </w:tr>
    </w:tbl>
    <w:p w:rsidR="00173081" w:rsidRDefault="00173081" w:rsidP="00173081">
      <w:pPr>
        <w:pStyle w:val="Bezproreda"/>
      </w:pPr>
    </w:p>
    <w:p w:rsidR="00DD1660" w:rsidRDefault="00173081" w:rsidP="00B53D85">
      <w:pPr>
        <w:pStyle w:val="Bezproreda"/>
        <w:jc w:val="both"/>
      </w:pPr>
      <w:r>
        <w:t>Usporedbom izvršenja rashoda proračuna za 201</w:t>
      </w:r>
      <w:r w:rsidR="00DD1660">
        <w:t>7</w:t>
      </w:r>
      <w:r>
        <w:t>. godinu u odnosu na 201</w:t>
      </w:r>
      <w:r w:rsidR="00DD1660">
        <w:t>6</w:t>
      </w:r>
      <w:r>
        <w:t xml:space="preserve">. godinu, vidljivo je da su ukupni rashodi  </w:t>
      </w:r>
      <w:r w:rsidR="00DD1660">
        <w:t>povećani za 5,80%.</w:t>
      </w:r>
    </w:p>
    <w:p w:rsidR="00173081" w:rsidRDefault="00DD1660" w:rsidP="00B53D85">
      <w:pPr>
        <w:pStyle w:val="Bezproreda"/>
        <w:jc w:val="both"/>
      </w:pPr>
      <w:r>
        <w:t xml:space="preserve"> Rashodi poslovanja povećani su </w:t>
      </w:r>
      <w:r w:rsidR="00095F75">
        <w:t>24%</w:t>
      </w:r>
      <w:r w:rsidR="00173081">
        <w:t xml:space="preserve"> </w:t>
      </w:r>
      <w:r>
        <w:t xml:space="preserve">, materijali rashodi povećani su za </w:t>
      </w:r>
      <w:r w:rsidR="00095F75">
        <w:t>7%, financijski rashodi povećani su za 34%, indeks izvršenja pomoći danih u inozemstvo i unutar opće države u odnosu na 2016.g. je 43,10%. Naknade građanima i kućanstvima na temelju osiguranja i druge naknade u 2017.g. izvršene su u iznosu od 800.735 kuna što je povećanje u odnosu ma 2016.g. 48%. Na to povećanje utjecali su rashodi za sufinanciranje kupnje knjiga roditeljima OŠ Braće Ribar Posedarje i rashodi za kupnju likovnih kutija učenicima osnovne škole. Tekuće donacije u 2017.g. ostvarene su 4% manje nego u 2016.g.</w:t>
      </w:r>
    </w:p>
    <w:p w:rsidR="0087755B" w:rsidRPr="00755550" w:rsidRDefault="00173081" w:rsidP="00B53D85">
      <w:pPr>
        <w:pStyle w:val="Bezproreda"/>
        <w:jc w:val="both"/>
      </w:pPr>
      <w:r>
        <w:t>Rashodi za nabavu neproizvedene dugotrajne imovine u odnosu na 201</w:t>
      </w:r>
      <w:r w:rsidR="00095F75">
        <w:t>6</w:t>
      </w:r>
      <w:r>
        <w:t xml:space="preserve">.g. ostvarenu su </w:t>
      </w:r>
      <w:r w:rsidR="0087755B">
        <w:t>53</w:t>
      </w:r>
      <w:r>
        <w:t xml:space="preserve">% </w:t>
      </w:r>
      <w:r w:rsidR="00095F75">
        <w:t>manje</w:t>
      </w:r>
      <w:r>
        <w:t xml:space="preserve"> nego u 201</w:t>
      </w:r>
      <w:r w:rsidR="0087755B">
        <w:t>6</w:t>
      </w:r>
      <w:r>
        <w:t>.g. dok su rashodi za nabavu proizvedene dugotrajne imovine u 201</w:t>
      </w:r>
      <w:r w:rsidR="0087755B">
        <w:t>7</w:t>
      </w:r>
      <w:r>
        <w:t xml:space="preserve">.g. ostvareni </w:t>
      </w:r>
      <w:r w:rsidR="0087755B">
        <w:t xml:space="preserve">67,60% više nego u </w:t>
      </w:r>
      <w:r>
        <w:t xml:space="preserve"> 201</w:t>
      </w:r>
      <w:r w:rsidR="0087755B">
        <w:t>6</w:t>
      </w:r>
      <w:r>
        <w:t>.g.</w:t>
      </w:r>
    </w:p>
    <w:p w:rsidR="0087755B" w:rsidRDefault="0087755B" w:rsidP="00173081">
      <w:pPr>
        <w:pStyle w:val="Bezproreda"/>
        <w:rPr>
          <w:b/>
        </w:rPr>
      </w:pPr>
    </w:p>
    <w:p w:rsidR="0087755B" w:rsidRDefault="0087755B" w:rsidP="00173081">
      <w:pPr>
        <w:pStyle w:val="Bezproreda"/>
        <w:rPr>
          <w:b/>
        </w:rPr>
      </w:pPr>
    </w:p>
    <w:p w:rsidR="00C0774B" w:rsidRDefault="00C0774B" w:rsidP="00173081">
      <w:pPr>
        <w:pStyle w:val="Bezproreda"/>
        <w:rPr>
          <w:b/>
        </w:rPr>
      </w:pPr>
    </w:p>
    <w:p w:rsidR="00C0774B" w:rsidRDefault="00C0774B" w:rsidP="00173081">
      <w:pPr>
        <w:pStyle w:val="Bezproreda"/>
        <w:rPr>
          <w:b/>
        </w:rPr>
      </w:pPr>
    </w:p>
    <w:p w:rsidR="00C0774B" w:rsidRDefault="00C0774B" w:rsidP="00173081">
      <w:pPr>
        <w:pStyle w:val="Bezproreda"/>
        <w:rPr>
          <w:b/>
        </w:rPr>
      </w:pPr>
    </w:p>
    <w:p w:rsidR="0087755B" w:rsidRDefault="0087755B" w:rsidP="00173081">
      <w:pPr>
        <w:pStyle w:val="Bezproreda"/>
        <w:rPr>
          <w:b/>
        </w:rPr>
      </w:pPr>
    </w:p>
    <w:p w:rsidR="00173081" w:rsidRDefault="00173081" w:rsidP="00173081">
      <w:pPr>
        <w:pStyle w:val="Bezproreda"/>
        <w:rPr>
          <w:b/>
        </w:rPr>
      </w:pPr>
      <w:r>
        <w:rPr>
          <w:b/>
        </w:rPr>
        <w:t>REZULTAT POSLOVANJA</w:t>
      </w:r>
    </w:p>
    <w:tbl>
      <w:tblPr>
        <w:tblStyle w:val="Reetkatablice"/>
        <w:tblW w:w="9600" w:type="dxa"/>
        <w:tblLayout w:type="fixed"/>
        <w:tblLook w:val="04A0" w:firstRow="1" w:lastRow="0" w:firstColumn="1" w:lastColumn="0" w:noHBand="0" w:noVBand="1"/>
      </w:tblPr>
      <w:tblGrid>
        <w:gridCol w:w="3934"/>
        <w:gridCol w:w="1416"/>
        <w:gridCol w:w="1417"/>
        <w:gridCol w:w="1268"/>
        <w:gridCol w:w="1565"/>
      </w:tblGrid>
      <w:tr w:rsidR="00173081" w:rsidTr="00173081">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173081">
            <w:pPr>
              <w:pStyle w:val="Bezproreda"/>
              <w:jc w:val="both"/>
              <w:rPr>
                <w:b/>
              </w:rPr>
            </w:pPr>
            <w:r>
              <w:rPr>
                <w:b/>
              </w:rPr>
              <w:t>OPIS</w:t>
            </w:r>
          </w:p>
        </w:tc>
        <w:tc>
          <w:tcPr>
            <w:tcW w:w="1417"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rsidR="00173081" w:rsidRDefault="00173081">
            <w:pPr>
              <w:pStyle w:val="Bezproreda"/>
              <w:jc w:val="both"/>
              <w:rPr>
                <w:b/>
              </w:rPr>
            </w:pPr>
            <w:r>
              <w:rPr>
                <w:b/>
              </w:rPr>
              <w:t>IZVRŠENJE</w:t>
            </w:r>
          </w:p>
          <w:p w:rsidR="00173081" w:rsidRDefault="00173081">
            <w:pPr>
              <w:pStyle w:val="Bezproreda"/>
              <w:jc w:val="both"/>
              <w:rPr>
                <w:b/>
              </w:rPr>
            </w:pPr>
            <w:r>
              <w:rPr>
                <w:b/>
              </w:rPr>
              <w:t>201</w:t>
            </w:r>
            <w:r w:rsidR="0087755B">
              <w:rPr>
                <w:b/>
              </w:rPr>
              <w:t>6</w:t>
            </w:r>
          </w:p>
        </w:tc>
        <w:tc>
          <w:tcPr>
            <w:tcW w:w="1418"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rsidR="00173081" w:rsidRDefault="00173081">
            <w:pPr>
              <w:pStyle w:val="Bezproreda"/>
              <w:jc w:val="both"/>
              <w:rPr>
                <w:b/>
              </w:rPr>
            </w:pPr>
            <w:r>
              <w:rPr>
                <w:b/>
              </w:rPr>
              <w:t>IZVRŠENJE</w:t>
            </w:r>
          </w:p>
          <w:p w:rsidR="00173081" w:rsidRDefault="00173081">
            <w:pPr>
              <w:pStyle w:val="Bezproreda"/>
              <w:jc w:val="both"/>
              <w:rPr>
                <w:b/>
              </w:rPr>
            </w:pPr>
            <w:r>
              <w:rPr>
                <w:b/>
              </w:rPr>
              <w:t>201</w:t>
            </w:r>
            <w:r w:rsidR="0087755B">
              <w:rPr>
                <w:b/>
              </w:rPr>
              <w:t>7</w:t>
            </w:r>
          </w:p>
        </w:tc>
        <w:tc>
          <w:tcPr>
            <w:tcW w:w="126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rsidR="00173081" w:rsidRDefault="00173081">
            <w:pPr>
              <w:pStyle w:val="Bezproreda"/>
              <w:jc w:val="both"/>
              <w:rPr>
                <w:b/>
              </w:rPr>
            </w:pPr>
            <w:r>
              <w:rPr>
                <w:b/>
              </w:rPr>
              <w:t>IZVRŠENJE</w:t>
            </w:r>
          </w:p>
          <w:p w:rsidR="00173081" w:rsidRDefault="00173081">
            <w:pPr>
              <w:pStyle w:val="Bezproreda"/>
              <w:jc w:val="both"/>
              <w:rPr>
                <w:b/>
              </w:rPr>
            </w:pPr>
            <w:r>
              <w:rPr>
                <w:b/>
              </w:rPr>
              <w:t>30.09.201</w:t>
            </w:r>
            <w:r w:rsidR="0087755B">
              <w:rPr>
                <w:b/>
              </w:rPr>
              <w:t>7</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73081" w:rsidRDefault="00173081">
            <w:pPr>
              <w:pStyle w:val="Bezproreda"/>
              <w:jc w:val="both"/>
              <w:rPr>
                <w:b/>
              </w:rPr>
            </w:pPr>
            <w:r>
              <w:rPr>
                <w:b/>
              </w:rPr>
              <w:t>IZVRŠENJE</w:t>
            </w:r>
          </w:p>
          <w:p w:rsidR="00173081" w:rsidRDefault="00173081" w:rsidP="0087755B">
            <w:pPr>
              <w:pStyle w:val="Bezproreda"/>
              <w:jc w:val="both"/>
              <w:rPr>
                <w:b/>
              </w:rPr>
            </w:pPr>
            <w:r>
              <w:rPr>
                <w:b/>
              </w:rPr>
              <w:t>30.09.201</w:t>
            </w:r>
            <w:r w:rsidR="0087755B">
              <w:rPr>
                <w:b/>
              </w:rPr>
              <w:t>8</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Ukupni prihodi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pPr>
              <w:pStyle w:val="Bezproreda"/>
              <w:ind w:left="108"/>
              <w:jc w:val="right"/>
              <w:rPr>
                <w:sz w:val="20"/>
                <w:szCs w:val="20"/>
              </w:rPr>
            </w:pPr>
            <w:r>
              <w:rPr>
                <w:sz w:val="20"/>
                <w:szCs w:val="20"/>
              </w:rPr>
              <w:t>11.258.536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pPr>
              <w:pStyle w:val="Bezproreda"/>
              <w:ind w:left="108"/>
              <w:jc w:val="right"/>
              <w:rPr>
                <w:sz w:val="20"/>
                <w:szCs w:val="20"/>
              </w:rPr>
            </w:pPr>
            <w:r>
              <w:rPr>
                <w:sz w:val="20"/>
                <w:szCs w:val="20"/>
              </w:rPr>
              <w:t>10.983.534</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rsidP="00AB37E3">
            <w:pPr>
              <w:pStyle w:val="Bezproreda"/>
              <w:jc w:val="right"/>
              <w:rPr>
                <w:sz w:val="20"/>
                <w:szCs w:val="20"/>
              </w:rPr>
            </w:pPr>
            <w:r>
              <w:rPr>
                <w:sz w:val="20"/>
                <w:szCs w:val="20"/>
              </w:rPr>
              <w:t>7.969.376</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rsidP="00AB37E3">
            <w:pPr>
              <w:pStyle w:val="Bezproreda"/>
              <w:ind w:left="108"/>
              <w:jc w:val="right"/>
              <w:rPr>
                <w:sz w:val="20"/>
                <w:szCs w:val="20"/>
              </w:rPr>
            </w:pPr>
            <w:r>
              <w:rPr>
                <w:sz w:val="20"/>
                <w:szCs w:val="20"/>
              </w:rPr>
              <w:t>8.415.814</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Ukupni rashodi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pPr>
              <w:pStyle w:val="Bezproreda"/>
              <w:ind w:left="108"/>
              <w:jc w:val="right"/>
              <w:rPr>
                <w:sz w:val="20"/>
                <w:szCs w:val="20"/>
              </w:rPr>
            </w:pPr>
            <w:r>
              <w:rPr>
                <w:sz w:val="20"/>
                <w:szCs w:val="20"/>
              </w:rPr>
              <w:t>10.136.906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pPr>
              <w:pStyle w:val="Bezproreda"/>
              <w:ind w:left="108"/>
              <w:jc w:val="right"/>
              <w:rPr>
                <w:sz w:val="20"/>
                <w:szCs w:val="20"/>
              </w:rPr>
            </w:pPr>
            <w:r>
              <w:rPr>
                <w:sz w:val="20"/>
                <w:szCs w:val="20"/>
              </w:rPr>
              <w:t>10.723.424</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rsidP="00AB37E3">
            <w:pPr>
              <w:pStyle w:val="Bezproreda"/>
              <w:jc w:val="right"/>
              <w:rPr>
                <w:sz w:val="20"/>
                <w:szCs w:val="20"/>
              </w:rPr>
            </w:pPr>
            <w:r>
              <w:rPr>
                <w:sz w:val="20"/>
                <w:szCs w:val="20"/>
              </w:rPr>
              <w:t>7.564.161</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rsidP="00981F3F">
            <w:pPr>
              <w:pStyle w:val="Bezproreda"/>
              <w:ind w:left="108"/>
              <w:jc w:val="right"/>
              <w:rPr>
                <w:sz w:val="20"/>
                <w:szCs w:val="20"/>
              </w:rPr>
            </w:pPr>
            <w:r>
              <w:rPr>
                <w:sz w:val="20"/>
                <w:szCs w:val="20"/>
              </w:rPr>
              <w:t>8.82</w:t>
            </w:r>
            <w:r w:rsidR="00981F3F">
              <w:rPr>
                <w:sz w:val="20"/>
                <w:szCs w:val="20"/>
              </w:rPr>
              <w:t>4</w:t>
            </w:r>
            <w:r>
              <w:rPr>
                <w:sz w:val="20"/>
                <w:szCs w:val="20"/>
              </w:rPr>
              <w:t>.011</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Financijski rezultat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pPr>
              <w:pStyle w:val="Bezproreda"/>
              <w:ind w:left="108"/>
              <w:jc w:val="right"/>
              <w:rPr>
                <w:sz w:val="20"/>
                <w:szCs w:val="20"/>
              </w:rPr>
            </w:pPr>
            <w:r>
              <w:rPr>
                <w:sz w:val="20"/>
                <w:szCs w:val="20"/>
              </w:rPr>
              <w:t>1.121.630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pPr>
              <w:pStyle w:val="Bezproreda"/>
              <w:ind w:left="108"/>
              <w:jc w:val="right"/>
              <w:rPr>
                <w:sz w:val="20"/>
                <w:szCs w:val="20"/>
              </w:rPr>
            </w:pPr>
            <w:r>
              <w:rPr>
                <w:sz w:val="20"/>
                <w:szCs w:val="20"/>
              </w:rPr>
              <w:t>260.110</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rsidP="00AB37E3">
            <w:pPr>
              <w:pStyle w:val="Bezproreda"/>
              <w:jc w:val="right"/>
              <w:rPr>
                <w:sz w:val="20"/>
                <w:szCs w:val="20"/>
              </w:rPr>
            </w:pPr>
            <w:r>
              <w:rPr>
                <w:sz w:val="20"/>
                <w:szCs w:val="20"/>
              </w:rPr>
              <w:t>405.215</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rsidP="00981F3F">
            <w:pPr>
              <w:pStyle w:val="Bezproreda"/>
              <w:ind w:left="108"/>
              <w:jc w:val="right"/>
              <w:rPr>
                <w:sz w:val="20"/>
                <w:szCs w:val="20"/>
              </w:rPr>
            </w:pPr>
            <w:r>
              <w:rPr>
                <w:sz w:val="20"/>
                <w:szCs w:val="20"/>
              </w:rPr>
              <w:t>-40</w:t>
            </w:r>
            <w:r w:rsidR="00981F3F">
              <w:rPr>
                <w:sz w:val="20"/>
                <w:szCs w:val="20"/>
              </w:rPr>
              <w:t>8</w:t>
            </w:r>
            <w:r>
              <w:rPr>
                <w:sz w:val="20"/>
                <w:szCs w:val="20"/>
              </w:rPr>
              <w:t>.197</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Preneseni manjak iz prethodnih godina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87755B">
            <w:pPr>
              <w:pStyle w:val="Bezproreda"/>
              <w:ind w:left="108"/>
              <w:jc w:val="right"/>
              <w:rPr>
                <w:sz w:val="20"/>
                <w:szCs w:val="20"/>
              </w:rPr>
            </w:pPr>
            <w:r>
              <w:rPr>
                <w:sz w:val="20"/>
                <w:szCs w:val="20"/>
              </w:rPr>
              <w:t>-3.482.62</w:t>
            </w:r>
            <w:r w:rsidR="00AB37E3">
              <w:rPr>
                <w:sz w:val="20"/>
                <w:szCs w:val="20"/>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AB37E3">
            <w:pPr>
              <w:pStyle w:val="Bezproreda"/>
              <w:ind w:left="108"/>
              <w:jc w:val="right"/>
              <w:rPr>
                <w:sz w:val="20"/>
                <w:szCs w:val="20"/>
              </w:rPr>
            </w:pPr>
            <w:r>
              <w:rPr>
                <w:sz w:val="20"/>
                <w:szCs w:val="20"/>
              </w:rPr>
              <w:t>-2.360.993</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AB37E3" w:rsidP="00AB37E3">
            <w:pPr>
              <w:pStyle w:val="Bezproreda"/>
              <w:jc w:val="right"/>
              <w:rPr>
                <w:sz w:val="20"/>
                <w:szCs w:val="20"/>
              </w:rPr>
            </w:pPr>
            <w:r>
              <w:rPr>
                <w:sz w:val="20"/>
                <w:szCs w:val="20"/>
              </w:rPr>
              <w:t>-.2.360.993</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AB37E3" w:rsidP="00AB37E3">
            <w:pPr>
              <w:pStyle w:val="Bezproreda"/>
              <w:ind w:left="108"/>
              <w:jc w:val="right"/>
              <w:rPr>
                <w:sz w:val="20"/>
                <w:szCs w:val="20"/>
              </w:rPr>
            </w:pPr>
            <w:r>
              <w:rPr>
                <w:sz w:val="20"/>
                <w:szCs w:val="20"/>
              </w:rPr>
              <w:t>-2.100.883</w:t>
            </w:r>
          </w:p>
        </w:tc>
      </w:tr>
      <w:tr w:rsidR="00173081" w:rsidTr="00173081">
        <w:trPr>
          <w:trHeight w:val="405"/>
        </w:trPr>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ind w:left="108"/>
              <w:jc w:val="both"/>
              <w:rPr>
                <w:sz w:val="20"/>
                <w:szCs w:val="20"/>
              </w:rPr>
            </w:pPr>
            <w:r>
              <w:rPr>
                <w:sz w:val="20"/>
                <w:szCs w:val="20"/>
              </w:rPr>
              <w:t>Manjak za pokriće u slijedećem razdoblju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AB37E3">
            <w:pPr>
              <w:pStyle w:val="Bezproreda"/>
              <w:ind w:left="108"/>
              <w:jc w:val="right"/>
              <w:rPr>
                <w:sz w:val="20"/>
                <w:szCs w:val="20"/>
              </w:rPr>
            </w:pPr>
            <w:r>
              <w:rPr>
                <w:sz w:val="20"/>
                <w:szCs w:val="20"/>
              </w:rPr>
              <w:t>-2.360.993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AB37E3">
            <w:pPr>
              <w:pStyle w:val="Bezproreda"/>
              <w:ind w:left="108"/>
              <w:jc w:val="right"/>
              <w:rPr>
                <w:sz w:val="20"/>
                <w:szCs w:val="20"/>
              </w:rPr>
            </w:pPr>
            <w:r>
              <w:rPr>
                <w:sz w:val="20"/>
                <w:szCs w:val="20"/>
              </w:rPr>
              <w:t>-2.100.883</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AB37E3" w:rsidP="00AB37E3">
            <w:pPr>
              <w:pStyle w:val="Bezproreda"/>
              <w:jc w:val="right"/>
              <w:rPr>
                <w:sz w:val="20"/>
                <w:szCs w:val="20"/>
              </w:rPr>
            </w:pPr>
            <w:r>
              <w:rPr>
                <w:sz w:val="20"/>
                <w:szCs w:val="20"/>
              </w:rPr>
              <w:t>-1.955.778</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981F3F" w:rsidP="00981F3F">
            <w:pPr>
              <w:pStyle w:val="Bezproreda"/>
              <w:ind w:left="108"/>
              <w:jc w:val="right"/>
              <w:rPr>
                <w:sz w:val="20"/>
                <w:szCs w:val="20"/>
              </w:rPr>
            </w:pPr>
            <w:r>
              <w:rPr>
                <w:sz w:val="20"/>
                <w:szCs w:val="20"/>
              </w:rPr>
              <w:t>-5.509.080</w:t>
            </w:r>
          </w:p>
        </w:tc>
      </w:tr>
    </w:tbl>
    <w:p w:rsidR="00173081" w:rsidRDefault="00173081" w:rsidP="00173081">
      <w:pPr>
        <w:pStyle w:val="Bezproreda"/>
        <w:rPr>
          <w:b/>
        </w:rPr>
      </w:pPr>
    </w:p>
    <w:p w:rsidR="00173081" w:rsidRDefault="00173081" w:rsidP="00B53D85">
      <w:pPr>
        <w:pStyle w:val="Bezproreda"/>
        <w:jc w:val="both"/>
      </w:pPr>
      <w:r>
        <w:t>Preneseni,  manjak prihoda i primitaka posljedica je višegodišnjih nepovoljnih gospodarskih kretanja u hrvatskom gospodarstvu, koja su se neminovno odrazila na ostvarivanje prihoda Proračuna Općine Posedarje. Na manjak proračuna također su utjecale neplaćena potraživanja za prodaju poljoprivrednog zemljišta na području Općine Posedarje. Unatoč nepovoljnoj ekonomskoj situaciji i velikim potraživanjima , kroz cijelo višegodišnje razdoblje trajanja ekonomske krize, prioritet Općine Posedarje bio je da se u Proračunu Općine Posedarje osiguraju sredstva i zadrži razina standarda u području obrazovanja, socijalne skrbi, kulture sporta te održavanja komunalne infrastrukture.</w:t>
      </w:r>
    </w:p>
    <w:p w:rsidR="00173081" w:rsidRDefault="00173081" w:rsidP="00173081">
      <w:pPr>
        <w:pStyle w:val="Bezproreda"/>
      </w:pPr>
    </w:p>
    <w:p w:rsidR="00173081" w:rsidRDefault="00173081" w:rsidP="00B53D85">
      <w:pPr>
        <w:pStyle w:val="Bezproreda"/>
        <w:jc w:val="both"/>
        <w:rPr>
          <w:b/>
        </w:rPr>
      </w:pPr>
      <w:r>
        <w:rPr>
          <w:b/>
        </w:rPr>
        <w:t>2. Prijedlog mjera za otklanjanje uzoraka negativnog poslovanja i mjera za stabilno poslovanje</w:t>
      </w:r>
    </w:p>
    <w:p w:rsidR="00173081" w:rsidRDefault="00173081" w:rsidP="00B53D85">
      <w:pPr>
        <w:pStyle w:val="Bezproreda"/>
        <w:jc w:val="both"/>
      </w:pPr>
      <w:r>
        <w:t>2.1.</w:t>
      </w:r>
      <w:r>
        <w:tab/>
        <w:t xml:space="preserve"> Odlukom o donošenju proračuna te izmjenama i dopunama planirati pokriće manjka</w:t>
      </w:r>
    </w:p>
    <w:p w:rsidR="00173081" w:rsidRDefault="00173081" w:rsidP="00B53D85">
      <w:pPr>
        <w:pStyle w:val="Bezproreda"/>
        <w:jc w:val="both"/>
      </w:pPr>
      <w:r>
        <w:t>2.2.</w:t>
      </w:r>
      <w:r>
        <w:tab/>
        <w:t xml:space="preserve"> Kod planiranja i izvršavanja proračuna prioritet imaju zakonske i ugovorene obveze</w:t>
      </w:r>
    </w:p>
    <w:p w:rsidR="00173081" w:rsidRDefault="00173081" w:rsidP="00B53D85">
      <w:pPr>
        <w:pStyle w:val="Bezproreda"/>
        <w:ind w:left="708" w:hanging="708"/>
        <w:jc w:val="both"/>
      </w:pPr>
      <w:r>
        <w:t>2.3.</w:t>
      </w:r>
      <w:r>
        <w:tab/>
        <w:t xml:space="preserve"> Kontinuirano praćenje naplate prihoda, preuzimanje obveza u skladu s njihovim ostvarivanjem te poduzimati mjere prisilne naplate</w:t>
      </w:r>
    </w:p>
    <w:p w:rsidR="00173081" w:rsidRDefault="00173081" w:rsidP="00B53D85">
      <w:pPr>
        <w:pStyle w:val="Bezproreda"/>
        <w:ind w:left="708" w:hanging="708"/>
        <w:jc w:val="both"/>
      </w:pPr>
      <w:r>
        <w:t>2.4.</w:t>
      </w:r>
      <w:r>
        <w:tab/>
        <w:t xml:space="preserve"> Povećanje financiranja proračunskih projekata i aktivnosti it tekućih i kapitalnih pomoći prijavom projekata na natječaja europskih i drugih fondova</w:t>
      </w:r>
    </w:p>
    <w:p w:rsidR="00173081" w:rsidRDefault="00173081" w:rsidP="00B53D85">
      <w:pPr>
        <w:pStyle w:val="Bezproreda"/>
        <w:ind w:left="705" w:hanging="705"/>
        <w:jc w:val="both"/>
      </w:pPr>
      <w:r>
        <w:t xml:space="preserve">2.5. </w:t>
      </w:r>
      <w:r>
        <w:tab/>
        <w:t>Racionalno planiranje rashoda i to prvenstveno materijalnih rashoda uz zadržavanje kvalitete rada i pružanja usluga stanovništvu Općine</w:t>
      </w:r>
    </w:p>
    <w:p w:rsidR="00173081" w:rsidRDefault="00173081" w:rsidP="00173081">
      <w:pPr>
        <w:pStyle w:val="Bezproreda"/>
        <w:ind w:left="705" w:hanging="705"/>
        <w:rPr>
          <w:b/>
        </w:rPr>
      </w:pPr>
    </w:p>
    <w:p w:rsidR="00173081" w:rsidRDefault="00173081" w:rsidP="00173081">
      <w:pPr>
        <w:pStyle w:val="Bezproreda"/>
        <w:ind w:left="705" w:hanging="705"/>
        <w:rPr>
          <w:b/>
        </w:rPr>
      </w:pPr>
      <w:r>
        <w:rPr>
          <w:b/>
        </w:rPr>
        <w:t>3. Akcijski plan provedbe mjera</w:t>
      </w:r>
    </w:p>
    <w:tbl>
      <w:tblPr>
        <w:tblStyle w:val="Reetkatablice"/>
        <w:tblW w:w="9498" w:type="dxa"/>
        <w:tblInd w:w="108" w:type="dxa"/>
        <w:tblLook w:val="04A0" w:firstRow="1" w:lastRow="0" w:firstColumn="1" w:lastColumn="0" w:noHBand="0" w:noVBand="1"/>
      </w:tblPr>
      <w:tblGrid>
        <w:gridCol w:w="3969"/>
        <w:gridCol w:w="3544"/>
        <w:gridCol w:w="1985"/>
      </w:tblGrid>
      <w:tr w:rsidR="00173081" w:rsidTr="00173081">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73081" w:rsidRDefault="00173081">
            <w:pPr>
              <w:pStyle w:val="Bezproreda"/>
              <w:rPr>
                <w:b/>
              </w:rPr>
            </w:pPr>
            <w:r>
              <w:rPr>
                <w:b/>
              </w:rPr>
              <w:t>NAZIV MJERE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73081" w:rsidRDefault="00173081">
            <w:pPr>
              <w:pStyle w:val="Bezproreda"/>
              <w:rPr>
                <w:b/>
              </w:rPr>
            </w:pPr>
            <w:r>
              <w:rPr>
                <w:b/>
              </w:rPr>
              <w:t>OPIS/NAČIN PROVEDBE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73081" w:rsidRDefault="00173081">
            <w:pPr>
              <w:pStyle w:val="Bezproreda"/>
              <w:rPr>
                <w:b/>
              </w:rPr>
            </w:pPr>
            <w:r>
              <w:rPr>
                <w:b/>
              </w:rPr>
              <w:t>ROK PROVEDBE</w:t>
            </w:r>
          </w:p>
        </w:tc>
      </w:tr>
      <w:tr w:rsidR="00173081" w:rsidTr="00173081">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pPr>
            <w:r>
              <w:t>1. Odlukom o donošenju proračuna te izmjenama i dopunama planirati pokriće manjka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pPr>
            <w:r>
              <w:t>Proračun koji uključuje rezultat poslovanja pruža cjelovit financijski okvir za donošenje odluka o budućoj potrošnji i izvorima financiranja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rsidP="00981F3F">
            <w:pPr>
              <w:pStyle w:val="Bezproreda"/>
            </w:pPr>
            <w:r>
              <w:t>15.studenog 201</w:t>
            </w:r>
            <w:r w:rsidR="00981F3F">
              <w:t>8</w:t>
            </w:r>
            <w:r>
              <w:t>., a prema potrebi prilikom Izmjena i dopuna proračuna u narednom razdoblju</w:t>
            </w:r>
          </w:p>
        </w:tc>
      </w:tr>
      <w:tr w:rsidR="00173081" w:rsidTr="00173081">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rPr>
                <w:b/>
              </w:rPr>
            </w:pPr>
            <w:r>
              <w:t>2. Kod planiranja i izvršavanja proračuna prioritet imaju zakonske i ugovorene obveze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pPr>
            <w:r>
              <w:t>Mjera podrazumijeva prioritetno podmirivanje već preuzetih obveza, odnosno zakonskih obveza (financiranje redovne djelatnosti  proračunskog korisnika i JUO-a)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pPr>
            <w:r>
              <w:t>Kontinuirano</w:t>
            </w:r>
          </w:p>
        </w:tc>
      </w:tr>
      <w:tr w:rsidR="00173081" w:rsidTr="00173081">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081" w:rsidRDefault="00173081">
            <w:pPr>
              <w:pStyle w:val="Bezproreda"/>
              <w:ind w:left="708" w:hanging="708"/>
            </w:pPr>
            <w:r>
              <w:rPr>
                <w:b/>
              </w:rPr>
              <w:t xml:space="preserve">3. </w:t>
            </w:r>
            <w:r>
              <w:t>Kontinuirano praćenje naplate prihoda,</w:t>
            </w:r>
          </w:p>
          <w:p w:rsidR="00173081" w:rsidRDefault="00173081">
            <w:pPr>
              <w:pStyle w:val="Bezproreda"/>
              <w:ind w:left="708" w:hanging="708"/>
            </w:pPr>
            <w:r>
              <w:t>preuzimanje obveza u skladu s njihovim</w:t>
            </w:r>
          </w:p>
          <w:p w:rsidR="00173081" w:rsidRDefault="00173081">
            <w:pPr>
              <w:pStyle w:val="Bezproreda"/>
              <w:ind w:left="708" w:hanging="708"/>
            </w:pPr>
            <w:r>
              <w:t>ostvarivanjem te poduzimati mjere</w:t>
            </w:r>
          </w:p>
          <w:p w:rsidR="00173081" w:rsidRDefault="00173081">
            <w:pPr>
              <w:pStyle w:val="Bezproreda"/>
              <w:ind w:left="708" w:hanging="708"/>
            </w:pPr>
            <w:r>
              <w:t>prisilne naplate</w:t>
            </w:r>
          </w:p>
          <w:p w:rsidR="00173081" w:rsidRDefault="00173081">
            <w:pPr>
              <w:pStyle w:val="Bezproreda"/>
              <w:rPr>
                <w:b/>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rPr>
                <w:b/>
              </w:rPr>
            </w:pPr>
            <w:r>
              <w:t>Mjere uključuju preuzimanje obveza u skladu s dinamikom ostvarivanja izvora financiranja kako je definirano Planom proračuna. Izrada kvartalnih izvještaja o realizaciji Proračuna. Postupanje prema Proceduri za naplatu općinskih prihoda</w:t>
            </w:r>
            <w:r>
              <w:rPr>
                <w:b/>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081" w:rsidRDefault="00173081">
            <w:pPr>
              <w:pStyle w:val="Bezproreda"/>
            </w:pPr>
            <w:r>
              <w:t>Kvartalno</w:t>
            </w:r>
          </w:p>
        </w:tc>
      </w:tr>
      <w:tr w:rsidR="00173081" w:rsidTr="00173081">
        <w:trPr>
          <w:trHeight w:val="1560"/>
        </w:trPr>
        <w:tc>
          <w:tcPr>
            <w:tcW w:w="3969" w:type="dxa"/>
            <w:tcBorders>
              <w:top w:val="single" w:sz="4" w:space="0" w:color="000000" w:themeColor="text1"/>
              <w:left w:val="single" w:sz="4" w:space="0" w:color="auto"/>
              <w:bottom w:val="single" w:sz="4" w:space="0" w:color="auto"/>
              <w:right w:val="single" w:sz="4" w:space="0" w:color="auto"/>
            </w:tcBorders>
            <w:hideMark/>
          </w:tcPr>
          <w:p w:rsidR="00173081" w:rsidRDefault="00173081">
            <w:pPr>
              <w:pStyle w:val="Bezproreda"/>
              <w:rPr>
                <w:b/>
              </w:rPr>
            </w:pPr>
            <w:r>
              <w:rPr>
                <w:b/>
              </w:rPr>
              <w:lastRenderedPageBreak/>
              <w:t xml:space="preserve">4. </w:t>
            </w:r>
            <w:r>
              <w:t>Povećanje financiranja proračunskih projekata i aktivnosti it tekućih i kapitalnih pomoći prijavom projekata na natječaja europskih i drugih fondova</w:t>
            </w:r>
          </w:p>
        </w:tc>
        <w:tc>
          <w:tcPr>
            <w:tcW w:w="3544" w:type="dxa"/>
            <w:tcBorders>
              <w:top w:val="single" w:sz="4" w:space="0" w:color="000000" w:themeColor="text1"/>
              <w:left w:val="single" w:sz="4" w:space="0" w:color="auto"/>
              <w:bottom w:val="single" w:sz="4" w:space="0" w:color="auto"/>
              <w:right w:val="single" w:sz="4" w:space="0" w:color="000000" w:themeColor="text1"/>
            </w:tcBorders>
            <w:hideMark/>
          </w:tcPr>
          <w:p w:rsidR="00173081" w:rsidRDefault="00173081">
            <w:pPr>
              <w:pStyle w:val="Bezproreda"/>
            </w:pPr>
            <w:r>
              <w:t>Mjere uključuju oslobađanje sredstava iz izvora Opći prihodi i primici i financiranje  što više projekata iz drugih izvora putem natječaja za sredstva iz fondova EU.</w:t>
            </w:r>
          </w:p>
        </w:tc>
        <w:tc>
          <w:tcPr>
            <w:tcW w:w="1985" w:type="dxa"/>
            <w:tcBorders>
              <w:top w:val="single" w:sz="4" w:space="0" w:color="000000" w:themeColor="text1"/>
              <w:left w:val="single" w:sz="4" w:space="0" w:color="000000" w:themeColor="text1"/>
              <w:bottom w:val="single" w:sz="4" w:space="0" w:color="auto"/>
              <w:right w:val="single" w:sz="4" w:space="0" w:color="auto"/>
            </w:tcBorders>
            <w:hideMark/>
          </w:tcPr>
          <w:p w:rsidR="00173081" w:rsidRDefault="00173081">
            <w:pPr>
              <w:pStyle w:val="Bezproreda"/>
            </w:pPr>
            <w:r>
              <w:t>Kontinuirano</w:t>
            </w:r>
          </w:p>
        </w:tc>
      </w:tr>
      <w:tr w:rsidR="00173081" w:rsidTr="00173081">
        <w:trPr>
          <w:trHeight w:val="45"/>
        </w:trPr>
        <w:tc>
          <w:tcPr>
            <w:tcW w:w="3969" w:type="dxa"/>
            <w:tcBorders>
              <w:top w:val="single" w:sz="4" w:space="0" w:color="auto"/>
              <w:left w:val="single" w:sz="4" w:space="0" w:color="auto"/>
              <w:bottom w:val="single" w:sz="4" w:space="0" w:color="auto"/>
              <w:right w:val="single" w:sz="4" w:space="0" w:color="auto"/>
            </w:tcBorders>
            <w:hideMark/>
          </w:tcPr>
          <w:p w:rsidR="00173081" w:rsidRDefault="00173081">
            <w:pPr>
              <w:pStyle w:val="Bezproreda"/>
              <w:ind w:left="705" w:hanging="705"/>
            </w:pPr>
            <w:r>
              <w:rPr>
                <w:b/>
              </w:rPr>
              <w:t xml:space="preserve">5. </w:t>
            </w:r>
            <w:r>
              <w:t>Racionalno planiranje rashoda i to</w:t>
            </w:r>
          </w:p>
          <w:p w:rsidR="00173081" w:rsidRDefault="00173081">
            <w:pPr>
              <w:pStyle w:val="Bezproreda"/>
              <w:ind w:left="705" w:hanging="705"/>
            </w:pPr>
            <w:r>
              <w:t>prvenstveno materijalnih rashoda uz</w:t>
            </w:r>
          </w:p>
          <w:p w:rsidR="00173081" w:rsidRDefault="00173081">
            <w:pPr>
              <w:pStyle w:val="Bezproreda"/>
              <w:ind w:left="705" w:hanging="705"/>
            </w:pPr>
            <w:r>
              <w:t>zadržavanje kvalitete rada i pružanja</w:t>
            </w:r>
          </w:p>
          <w:p w:rsidR="00173081" w:rsidRDefault="00173081">
            <w:pPr>
              <w:pStyle w:val="Bezproreda"/>
              <w:rPr>
                <w:b/>
              </w:rPr>
            </w:pPr>
            <w:r>
              <w:t>usluga stanovništvu Općine.</w:t>
            </w:r>
          </w:p>
        </w:tc>
        <w:tc>
          <w:tcPr>
            <w:tcW w:w="3544" w:type="dxa"/>
            <w:tcBorders>
              <w:top w:val="single" w:sz="4" w:space="0" w:color="auto"/>
              <w:left w:val="single" w:sz="4" w:space="0" w:color="auto"/>
              <w:bottom w:val="single" w:sz="4" w:space="0" w:color="auto"/>
              <w:right w:val="single" w:sz="4" w:space="0" w:color="000000" w:themeColor="text1"/>
            </w:tcBorders>
            <w:hideMark/>
          </w:tcPr>
          <w:p w:rsidR="00173081" w:rsidRDefault="00173081">
            <w:pPr>
              <w:pStyle w:val="Bezproreda"/>
            </w:pPr>
            <w:r>
              <w:t>Maksimalna racionalizacija</w:t>
            </w:r>
          </w:p>
        </w:tc>
        <w:tc>
          <w:tcPr>
            <w:tcW w:w="1985" w:type="dxa"/>
            <w:tcBorders>
              <w:top w:val="single" w:sz="4" w:space="0" w:color="auto"/>
              <w:left w:val="single" w:sz="4" w:space="0" w:color="000000" w:themeColor="text1"/>
              <w:bottom w:val="single" w:sz="4" w:space="0" w:color="auto"/>
              <w:right w:val="single" w:sz="4" w:space="0" w:color="auto"/>
            </w:tcBorders>
            <w:hideMark/>
          </w:tcPr>
          <w:p w:rsidR="00173081" w:rsidRDefault="00173081">
            <w:pPr>
              <w:pStyle w:val="Bezproreda"/>
            </w:pPr>
            <w:r>
              <w:t>Kontinuirano</w:t>
            </w:r>
          </w:p>
        </w:tc>
      </w:tr>
    </w:tbl>
    <w:p w:rsidR="00173081" w:rsidRDefault="00173081" w:rsidP="00173081">
      <w:pPr>
        <w:pStyle w:val="Bezproreda"/>
        <w:ind w:left="705" w:hanging="705"/>
        <w:jc w:val="both"/>
      </w:pPr>
    </w:p>
    <w:p w:rsidR="00173081" w:rsidRDefault="00173081" w:rsidP="00173081">
      <w:pPr>
        <w:pStyle w:val="Bezproreda"/>
        <w:ind w:left="705" w:hanging="705"/>
        <w:jc w:val="both"/>
      </w:pPr>
    </w:p>
    <w:p w:rsidR="00173081" w:rsidRDefault="00173081" w:rsidP="00755550">
      <w:pPr>
        <w:pStyle w:val="Bezproreda"/>
        <w:ind w:left="705" w:hanging="705"/>
        <w:jc w:val="both"/>
      </w:pPr>
      <w:r>
        <w:tab/>
      </w:r>
      <w:r>
        <w:tab/>
      </w:r>
      <w:r>
        <w:tab/>
      </w:r>
      <w:r>
        <w:tab/>
      </w:r>
      <w:r>
        <w:tab/>
      </w:r>
      <w:r>
        <w:tab/>
      </w:r>
      <w:r>
        <w:tab/>
      </w:r>
      <w:r>
        <w:tab/>
      </w:r>
    </w:p>
    <w:p w:rsidR="00755550" w:rsidRDefault="00755550" w:rsidP="00B53D85">
      <w:pPr>
        <w:pStyle w:val="Bezproreda"/>
        <w:ind w:left="705" w:hanging="705"/>
        <w:jc w:val="both"/>
      </w:pPr>
      <w:r>
        <w:t xml:space="preserve">Odgovorna osobna za provedbu akcijskog plana je načelnik Općine. Planirani financijski </w:t>
      </w:r>
    </w:p>
    <w:p w:rsidR="00755550" w:rsidRDefault="00755550" w:rsidP="00B53D85">
      <w:pPr>
        <w:pStyle w:val="Bezproreda"/>
        <w:ind w:left="705" w:hanging="705"/>
        <w:jc w:val="both"/>
      </w:pPr>
      <w:r>
        <w:t>učinak predloženih mjera je suficit proračuna u razdoblju od 2018.godine. do 2020. godine u iznosu</w:t>
      </w:r>
    </w:p>
    <w:p w:rsidR="00755550" w:rsidRDefault="00755550" w:rsidP="00B53D85">
      <w:pPr>
        <w:pStyle w:val="Bezproreda"/>
        <w:ind w:left="30"/>
        <w:jc w:val="both"/>
      </w:pPr>
      <w:r>
        <w:t xml:space="preserve">od 2.100.883,00 kuna, odnosno pokriće planiranog manjka prihoda i primitaka u razdoblju od </w:t>
      </w:r>
    </w:p>
    <w:p w:rsidR="00755550" w:rsidRDefault="00755550" w:rsidP="00B53D85">
      <w:pPr>
        <w:pStyle w:val="Bezproreda"/>
        <w:ind w:left="30"/>
        <w:jc w:val="both"/>
      </w:pPr>
      <w:r>
        <w:t>2018-2020. godine.</w:t>
      </w:r>
    </w:p>
    <w:p w:rsidR="00755550" w:rsidRDefault="00755550" w:rsidP="00755550">
      <w:pPr>
        <w:pStyle w:val="Bezproreda"/>
        <w:ind w:left="30"/>
      </w:pPr>
    </w:p>
    <w:p w:rsidR="00755550" w:rsidRDefault="00755550" w:rsidP="00755550">
      <w:pPr>
        <w:pStyle w:val="Bezproreda"/>
        <w:ind w:left="30"/>
        <w:jc w:val="center"/>
        <w:rPr>
          <w:b/>
        </w:rPr>
      </w:pPr>
      <w:r w:rsidRPr="00755550">
        <w:rPr>
          <w:b/>
        </w:rPr>
        <w:t>OBRAZLOŽENJE</w:t>
      </w:r>
    </w:p>
    <w:p w:rsidR="00755550" w:rsidRDefault="00755550" w:rsidP="00755550">
      <w:pPr>
        <w:pStyle w:val="Bezproreda"/>
        <w:ind w:left="30"/>
        <w:jc w:val="center"/>
        <w:rPr>
          <w:b/>
        </w:rPr>
      </w:pPr>
    </w:p>
    <w:p w:rsidR="00755550" w:rsidRDefault="00755550" w:rsidP="00B53D85">
      <w:pPr>
        <w:pStyle w:val="Bezproreda"/>
        <w:ind w:left="30"/>
        <w:jc w:val="both"/>
      </w:pPr>
      <w:r>
        <w:t xml:space="preserve">Odredbom članka 82. Pravilnika o proračunskom računovodstvu i računskom planu („Narodne novine“ broj 124/14, 115/15 </w:t>
      </w:r>
      <w:r w:rsidR="005C0D1B">
        <w:t xml:space="preserve">, </w:t>
      </w:r>
      <w:r>
        <w:t>87/16</w:t>
      </w:r>
      <w:r w:rsidR="005C0D1B">
        <w:t xml:space="preserve"> i 3/18</w:t>
      </w:r>
      <w:r>
        <w:t>) propisano je da se rezultat poslovanja utvrđuje prebijanjem računa viškova i manjkova po istovjetnim kategorijama i izvorima financiranja. Stavkom 2. Navedenog članka propisano je da se stanja utvrđena na osn</w:t>
      </w:r>
      <w:r w:rsidR="00B53D85">
        <w:t>ovnim računima podskupine 922 iskazana u financijskim izvještajima za proračunsku godinu raspodjeljuju u sljedećoj proračunskoj godini u skladu s Odlukom o raspodjeli rezultata i uz pridržavanja ograničenja u skladu s propisima iz područja proračuna.</w:t>
      </w:r>
    </w:p>
    <w:p w:rsidR="00B53D85" w:rsidRDefault="00B53D85" w:rsidP="00B53D85">
      <w:pPr>
        <w:pStyle w:val="Bezproreda"/>
        <w:ind w:left="30"/>
        <w:jc w:val="both"/>
      </w:pPr>
    </w:p>
    <w:p w:rsidR="00B53D85" w:rsidRDefault="00B53D85" w:rsidP="00B53D85">
      <w:pPr>
        <w:pStyle w:val="Bezproreda"/>
        <w:ind w:left="30"/>
        <w:jc w:val="both"/>
      </w:pPr>
      <w:r>
        <w:t>Uputama za  izradu Proračuna jedinica lokalne i područne (regionalne) samouprave za razdoblje od 2019. do 2021. godine određeno je da financijski plan mora sadržavati predviđeni manjak odnosno višak prihoda te da je potrebno s navedenim bilančnim kategorijama postići uravnoteženje proračuna.  Financijski plan koji uključuje isključivo plan prihoda i rashoda bez rezultata poslovanja ne pruža cjelovit financijski okvir za donošenje odluke o budućoj potrošnji. Buduću da je konačni rezultat poslovanja poznat tek u siječnju iduće godine za koju se donosi financijski plan, prilikom izrade financijskog plana u obzir se uzima planirani rezultat poslovanja.</w:t>
      </w:r>
    </w:p>
    <w:p w:rsidR="00CD1E56" w:rsidRDefault="00CD1E56" w:rsidP="00B53D85">
      <w:pPr>
        <w:pStyle w:val="Bezproreda"/>
        <w:ind w:left="30"/>
        <w:jc w:val="both"/>
      </w:pPr>
      <w:r>
        <w:t>Ukoliko preneseni manjak čini značajan dio ukupnog financijskog plana, odnosno ukoliko se s obzirom na projekciju prihoda i stvarne obveze ne može realno pokriti u jednoj godini, moguće je sukcesivno pokriće planiranog manjka kroz dvije naredne godine pod uvjetom da  se uz financijski plan donese akt koji sadržava:</w:t>
      </w:r>
    </w:p>
    <w:p w:rsidR="00CD1E56" w:rsidRDefault="00CD1E56" w:rsidP="00B53D85">
      <w:pPr>
        <w:pStyle w:val="Bezproreda"/>
        <w:ind w:left="30"/>
        <w:jc w:val="both"/>
      </w:pPr>
    </w:p>
    <w:p w:rsidR="00CD1E56" w:rsidRDefault="00CD1E56" w:rsidP="00B53D85">
      <w:pPr>
        <w:pStyle w:val="Bezproreda"/>
        <w:ind w:left="30"/>
        <w:jc w:val="both"/>
      </w:pPr>
      <w:r>
        <w:t>1. Analizu i ocjenu postojećeg financijskog stanja institucije;</w:t>
      </w:r>
    </w:p>
    <w:p w:rsidR="00CD1E56" w:rsidRDefault="00CD1E56" w:rsidP="00B53D85">
      <w:pPr>
        <w:pStyle w:val="Bezproreda"/>
        <w:ind w:left="30"/>
        <w:jc w:val="both"/>
      </w:pPr>
      <w:r>
        <w:t>2. Prijedlog mjera za otklanjanje utvrđenih uzoraka nastanka negativnog poslovanja te mjera za stabilno održavanje poslovanja;</w:t>
      </w:r>
    </w:p>
    <w:p w:rsidR="00CD1E56" w:rsidRDefault="00CD1E56" w:rsidP="00B53D85">
      <w:pPr>
        <w:pStyle w:val="Bezproreda"/>
        <w:ind w:left="30"/>
        <w:jc w:val="both"/>
      </w:pPr>
      <w:r>
        <w:t>3. Akcijski plan provedbe mjera</w:t>
      </w:r>
    </w:p>
    <w:p w:rsidR="00CD1E56" w:rsidRDefault="00CD1E56" w:rsidP="00B53D85">
      <w:pPr>
        <w:pStyle w:val="Bezproreda"/>
        <w:ind w:left="30"/>
        <w:jc w:val="both"/>
      </w:pPr>
    </w:p>
    <w:p w:rsidR="00755550" w:rsidRDefault="001445E6" w:rsidP="001C56C9">
      <w:pPr>
        <w:pStyle w:val="Bezproreda"/>
        <w:ind w:left="705" w:hanging="705"/>
        <w:jc w:val="both"/>
      </w:pPr>
      <w:r>
        <w:t xml:space="preserve"> </w:t>
      </w:r>
      <w:r w:rsidR="00A47D46">
        <w:t xml:space="preserve">Ovom Odlukom predlaže se da se u Plan proračuna Općine Posedarje za 2019. godinu </w:t>
      </w:r>
      <w:r>
        <w:t xml:space="preserve">i projekcija za </w:t>
      </w:r>
    </w:p>
    <w:p w:rsidR="001C56C9" w:rsidRDefault="001445E6" w:rsidP="001C56C9">
      <w:pPr>
        <w:pStyle w:val="Bezproreda"/>
        <w:jc w:val="both"/>
      </w:pPr>
      <w:r>
        <w:t xml:space="preserve">2020. i 2021. godinu </w:t>
      </w:r>
      <w:r w:rsidR="003C60EE">
        <w:t xml:space="preserve"> procijenjeni  manjak prihoda i primitaka koji će se prenijeti iz 2018.godine</w:t>
      </w:r>
      <w:r w:rsidR="001C56C9">
        <w:t xml:space="preserve"> </w:t>
      </w:r>
      <w:r w:rsidR="003C60EE">
        <w:t xml:space="preserve"> u iznosu  od 1.100.884 kune  pokrije u 2019.g. u iznosu od 853.000,00 kuna i u 2020. godini u iznosu od 247.884,00 kuna. U svrhu uravnoteženje  proračuna nakon </w:t>
      </w:r>
      <w:r w:rsidR="001C56C9">
        <w:t xml:space="preserve"> uključivanja procijenjenog proračunskog manjka, kao i nastavka pružanja javnih usluga zadovoljavajuće kvalitete, nastavit će se s poduzimanjem svih mjera za pravodobno prikupljanje i ostvarivanje proračunskih prihoda, uz maksimalno poštivanje načela ekonomičnosti i učinkovitosti prilikom trošenja prihoda, a kako bi ostvareni prihodi bili dostatni za pokriće dijela prenesenog manjka te rashoda i izdatak u skladu s definiranom dinamikom.  Analiza i </w:t>
      </w:r>
      <w:r w:rsidR="001C56C9">
        <w:lastRenderedPageBreak/>
        <w:t>ocjena postojećeg stanja, prijedlog mjera za otklanjanje uzoraka negativnog poslovanja, mjera za stabilno poslovanje i akcijski plan provedbe mjera čine prilog Odluke i njezin sastavni dio.</w:t>
      </w:r>
    </w:p>
    <w:p w:rsidR="001C56C9" w:rsidRDefault="001C56C9" w:rsidP="003C60EE">
      <w:pPr>
        <w:pStyle w:val="Bezproreda"/>
      </w:pPr>
    </w:p>
    <w:p w:rsidR="00162BF5" w:rsidRDefault="00162BF5" w:rsidP="003C60EE">
      <w:pPr>
        <w:pStyle w:val="Bezproreda"/>
      </w:pPr>
    </w:p>
    <w:p w:rsidR="00162BF5" w:rsidRDefault="00162BF5" w:rsidP="00FE158F">
      <w:pPr>
        <w:pStyle w:val="Bezproreda"/>
      </w:pPr>
      <w:r>
        <w:tab/>
      </w:r>
      <w:r>
        <w:tab/>
      </w:r>
      <w:r>
        <w:tab/>
      </w:r>
      <w:r>
        <w:tab/>
      </w:r>
      <w:r>
        <w:tab/>
      </w:r>
      <w:r>
        <w:tab/>
      </w:r>
      <w:r>
        <w:tab/>
      </w:r>
      <w:r>
        <w:tab/>
      </w:r>
      <w:r w:rsidR="00FE158F">
        <w:t>POTPREDSJEDNIK OPĆINSKOG VIJEĆA</w:t>
      </w:r>
    </w:p>
    <w:p w:rsidR="00FE158F" w:rsidRDefault="00FE158F" w:rsidP="00FE158F">
      <w:pPr>
        <w:pStyle w:val="Bezproreda"/>
      </w:pPr>
      <w:r>
        <w:t xml:space="preserve">                                                                                                                                IVICA ZURAK</w:t>
      </w:r>
    </w:p>
    <w:p w:rsidR="003919CB" w:rsidRDefault="003919CB" w:rsidP="003C60EE">
      <w:pPr>
        <w:jc w:val="both"/>
      </w:pPr>
    </w:p>
    <w:sectPr w:rsidR="003919CB" w:rsidSect="00017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11F79"/>
    <w:multiLevelType w:val="hybridMultilevel"/>
    <w:tmpl w:val="5C20CB4E"/>
    <w:lvl w:ilvl="0" w:tplc="041A000F">
      <w:start w:val="1"/>
      <w:numFmt w:val="decimal"/>
      <w:lvlText w:val="%1."/>
      <w:lvlJc w:val="left"/>
      <w:pPr>
        <w:ind w:left="750" w:hanging="360"/>
      </w:p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81"/>
    <w:rsid w:val="00017B10"/>
    <w:rsid w:val="00065626"/>
    <w:rsid w:val="00095F75"/>
    <w:rsid w:val="000C7DFB"/>
    <w:rsid w:val="001442CF"/>
    <w:rsid w:val="001445E6"/>
    <w:rsid w:val="00162BF5"/>
    <w:rsid w:val="00173081"/>
    <w:rsid w:val="001C56C9"/>
    <w:rsid w:val="00244B3E"/>
    <w:rsid w:val="003919CB"/>
    <w:rsid w:val="003C60EE"/>
    <w:rsid w:val="003E2465"/>
    <w:rsid w:val="004740D7"/>
    <w:rsid w:val="005C0D1B"/>
    <w:rsid w:val="00755550"/>
    <w:rsid w:val="007933C0"/>
    <w:rsid w:val="0087755B"/>
    <w:rsid w:val="008E550D"/>
    <w:rsid w:val="00981F3F"/>
    <w:rsid w:val="00A47D46"/>
    <w:rsid w:val="00AB37E3"/>
    <w:rsid w:val="00B53D85"/>
    <w:rsid w:val="00B76E92"/>
    <w:rsid w:val="00B850D6"/>
    <w:rsid w:val="00BB51D1"/>
    <w:rsid w:val="00C0774B"/>
    <w:rsid w:val="00C86046"/>
    <w:rsid w:val="00CD1E56"/>
    <w:rsid w:val="00D43AD7"/>
    <w:rsid w:val="00DD1660"/>
    <w:rsid w:val="00E12207"/>
    <w:rsid w:val="00FE15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1BFE"/>
  <w15:docId w15:val="{A0843C3D-F008-47C2-98AB-1CD84191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B1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173081"/>
    <w:pPr>
      <w:spacing w:after="0" w:line="240" w:lineRule="auto"/>
    </w:pPr>
  </w:style>
  <w:style w:type="table" w:styleId="Reetkatablice">
    <w:name w:val="Table Grid"/>
    <w:basedOn w:val="Obinatablica"/>
    <w:uiPriority w:val="59"/>
    <w:rsid w:val="001730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balonia">
    <w:name w:val="Balloon Text"/>
    <w:basedOn w:val="Normal"/>
    <w:link w:val="TekstbaloniaChar"/>
    <w:uiPriority w:val="99"/>
    <w:semiHidden/>
    <w:unhideWhenUsed/>
    <w:rsid w:val="0017308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73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61491">
      <w:bodyDiv w:val="1"/>
      <w:marLeft w:val="0"/>
      <w:marRight w:val="0"/>
      <w:marTop w:val="0"/>
      <w:marBottom w:val="0"/>
      <w:divBdr>
        <w:top w:val="none" w:sz="0" w:space="0" w:color="auto"/>
        <w:left w:val="none" w:sz="0" w:space="0" w:color="auto"/>
        <w:bottom w:val="none" w:sz="0" w:space="0" w:color="auto"/>
        <w:right w:val="none" w:sz="0" w:space="0" w:color="auto"/>
      </w:divBdr>
    </w:div>
    <w:div w:id="20506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D0D6-0A11-4BA7-B3EC-F34A191C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1825</Words>
  <Characters>10404</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Zrinka</cp:lastModifiedBy>
  <cp:revision>5</cp:revision>
  <cp:lastPrinted>2018-01-02T10:05:00Z</cp:lastPrinted>
  <dcterms:created xsi:type="dcterms:W3CDTF">2018-12-03T06:54:00Z</dcterms:created>
  <dcterms:modified xsi:type="dcterms:W3CDTF">2018-12-05T09:01:00Z</dcterms:modified>
</cp:coreProperties>
</file>